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175A3B28"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54625E">
        <w:t xml:space="preserve"> 2023-2024</w:t>
      </w:r>
    </w:p>
    <w:p w14:paraId="2A7D54B2" w14:textId="2F389ED3" w:rsidR="00E66558" w:rsidRDefault="009D71E8">
      <w:pPr>
        <w:pStyle w:val="Heading2"/>
        <w:rPr>
          <w:b w:val="0"/>
          <w:bCs/>
          <w:color w:val="auto"/>
          <w:sz w:val="24"/>
          <w:szCs w:val="24"/>
        </w:rPr>
      </w:pPr>
      <w:r>
        <w:rPr>
          <w:b w:val="0"/>
          <w:bCs/>
          <w:color w:val="auto"/>
          <w:sz w:val="24"/>
          <w:szCs w:val="24"/>
        </w:rPr>
        <w:t>This statement details our school’s use of pupil premium (a</w:t>
      </w:r>
      <w:r w:rsidR="001C4FC9">
        <w:rPr>
          <w:b w:val="0"/>
          <w:bCs/>
          <w:color w:val="auto"/>
          <w:sz w:val="24"/>
          <w:szCs w:val="24"/>
        </w:rPr>
        <w:t>nd recovery premium for the 2022 to 2023</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7E6E4FC9" w:rsidR="00E66558" w:rsidRDefault="00F86EDC">
            <w:pPr>
              <w:pStyle w:val="TableRow"/>
            </w:pPr>
            <w:r>
              <w:t>Varna Community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E6A8F08" w:rsidR="00E66558" w:rsidRDefault="0054625E">
            <w:pPr>
              <w:pStyle w:val="TableRow"/>
            </w:pPr>
            <w:r>
              <w:t>473</w:t>
            </w:r>
            <w:r w:rsidR="00F541D0">
              <w:t xml:space="preserve"> (28.11.23)</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895F7D6" w:rsidR="00E66558" w:rsidRDefault="0054625E">
            <w:pPr>
              <w:pStyle w:val="TableRow"/>
            </w:pPr>
            <w:r>
              <w:t>48</w:t>
            </w:r>
            <w:r w:rsidR="00F86EDC">
              <w:t>%</w:t>
            </w:r>
            <w:r w:rsidR="00F541D0">
              <w:t xml:space="preserve"> (28.11.23)</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27DC6BBC" w:rsidR="00E66558" w:rsidRDefault="009D71E8" w:rsidP="00F86EDC">
            <w:pPr>
              <w:pStyle w:val="TableRow"/>
            </w:pPr>
            <w:r>
              <w:rPr>
                <w:szCs w:val="22"/>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1C64C8AB" w:rsidR="00E66558" w:rsidRDefault="0054625E">
            <w:pPr>
              <w:pStyle w:val="TableRow"/>
            </w:pPr>
            <w:r>
              <w:t>2023-2024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30C9FF4" w:rsidR="00E66558" w:rsidRDefault="0054625E">
            <w:pPr>
              <w:pStyle w:val="TableRow"/>
            </w:pPr>
            <w:r>
              <w:t>December 2023</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7794FCC" w:rsidR="00E66558" w:rsidRDefault="00F86EDC">
            <w:pPr>
              <w:pStyle w:val="TableRow"/>
            </w:pPr>
            <w:r>
              <w:t>Se</w:t>
            </w:r>
            <w:r w:rsidR="001E2BA6">
              <w:t>p</w:t>
            </w:r>
            <w:r w:rsidR="0054625E">
              <w:t>tember 2024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36256577" w:rsidR="00E66558" w:rsidRDefault="00F86EDC">
            <w:pPr>
              <w:pStyle w:val="TableRow"/>
            </w:pPr>
            <w:r>
              <w:t xml:space="preserve">Karen </w:t>
            </w:r>
            <w:proofErr w:type="spellStart"/>
            <w:r>
              <w:t>Livesey</w:t>
            </w:r>
            <w:proofErr w:type="spellEnd"/>
            <w:r>
              <w:t>/Peter Stone</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2AAFF0D5" w:rsidR="00E66558" w:rsidRDefault="00F86EDC">
            <w:pPr>
              <w:pStyle w:val="TableRow"/>
            </w:pPr>
            <w:r>
              <w:t>R. Crossley</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EEA01E3" w:rsidR="00E66558" w:rsidRDefault="00A417B5">
            <w:pPr>
              <w:pStyle w:val="TableRow"/>
            </w:pPr>
            <w:r>
              <w:t>N. Goddard</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01F8E3A" w:rsidR="00E66558" w:rsidRDefault="0054625E">
            <w:pPr>
              <w:pStyle w:val="TableRow"/>
            </w:pPr>
            <w:r>
              <w:t>£286,635</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3B52CF55" w:rsidR="00E66558" w:rsidRDefault="005E24C4" w:rsidP="00580BC4">
            <w:pPr>
              <w:pStyle w:val="TableRow"/>
            </w:pPr>
            <w:r>
              <w:t>£29,000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5BF33330" w:rsidR="00E66558" w:rsidRDefault="00503B2D" w:rsidP="00520CE3">
            <w:pPr>
              <w:pStyle w:val="TableRow"/>
            </w:pPr>
            <w:r>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4B22E1C1" w:rsidR="00E66558" w:rsidRDefault="0054625E">
            <w:pPr>
              <w:pStyle w:val="TableRow"/>
            </w:pPr>
            <w:r>
              <w:t>£315,635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E6970" w14:textId="77777777" w:rsidR="0043575B" w:rsidRPr="00DE7707" w:rsidRDefault="0043575B" w:rsidP="00EC46E4">
            <w:pPr>
              <w:rPr>
                <w:sz w:val="20"/>
                <w:szCs w:val="20"/>
              </w:rPr>
            </w:pPr>
            <w:r w:rsidRPr="00DE7707">
              <w:rPr>
                <w:sz w:val="20"/>
                <w:szCs w:val="20"/>
              </w:rPr>
              <w:t xml:space="preserve">When making decisions about using Pupil Premium funding it is important to consider the context of the school and the subsequent challenges faced. This alongside research conducted by the EEF. Common barriers to learning for disadvantaged children can be: less support at home, weak language and communication skills, lack of confidence, more frequent behaviour difficulties and attendance and punctuality issues. There may also be complex family situations that prevent children from flourishing. The challenges are varied and there is no “one size fits all”. </w:t>
            </w:r>
          </w:p>
          <w:p w14:paraId="131200BF" w14:textId="4AD23CC9" w:rsidR="0043575B" w:rsidRPr="00DE7707" w:rsidRDefault="0043575B" w:rsidP="00EC46E4">
            <w:pPr>
              <w:rPr>
                <w:sz w:val="20"/>
                <w:szCs w:val="20"/>
              </w:rPr>
            </w:pPr>
            <w:r w:rsidRPr="00DE7707">
              <w:rPr>
                <w:sz w:val="20"/>
                <w:szCs w:val="20"/>
              </w:rPr>
              <w:t>We will ensure that all teaching staff are involved in the analysis of data and identification of pupils, so that they are fully aware of strengths and weaknesses across the school.</w:t>
            </w:r>
          </w:p>
          <w:p w14:paraId="5DC4C657" w14:textId="77777777" w:rsidR="0043575B" w:rsidRPr="00DE7707" w:rsidRDefault="0043575B" w:rsidP="00EC46E4">
            <w:pPr>
              <w:rPr>
                <w:b/>
                <w:sz w:val="20"/>
                <w:szCs w:val="20"/>
                <w:u w:val="single"/>
              </w:rPr>
            </w:pPr>
            <w:r w:rsidRPr="00DE7707">
              <w:rPr>
                <w:b/>
                <w:sz w:val="20"/>
                <w:szCs w:val="20"/>
                <w:u w:val="single"/>
              </w:rPr>
              <w:t xml:space="preserve">Principles </w:t>
            </w:r>
          </w:p>
          <w:p w14:paraId="2F458086" w14:textId="77777777" w:rsidR="0043575B" w:rsidRPr="00DE7707" w:rsidRDefault="0043575B" w:rsidP="00EC46E4">
            <w:pPr>
              <w:rPr>
                <w:sz w:val="20"/>
                <w:szCs w:val="20"/>
              </w:rPr>
            </w:pPr>
            <w:r w:rsidRPr="00DE7707">
              <w:rPr>
                <w:sz w:val="20"/>
                <w:szCs w:val="20"/>
              </w:rPr>
              <w:t>• We ensure that teaching and learning opportunities meet the needs of all the pupils</w:t>
            </w:r>
          </w:p>
          <w:p w14:paraId="0778DEC9" w14:textId="77777777" w:rsidR="0043575B" w:rsidRPr="00DE7707" w:rsidRDefault="0043575B" w:rsidP="00EC46E4">
            <w:pPr>
              <w:rPr>
                <w:sz w:val="20"/>
                <w:szCs w:val="20"/>
              </w:rPr>
            </w:pPr>
            <w:r w:rsidRPr="00DE7707">
              <w:rPr>
                <w:sz w:val="20"/>
                <w:szCs w:val="20"/>
              </w:rPr>
              <w:t xml:space="preserve">• We ensure that appropriate provision is made for pupils who belong to vulnerable groups, this includes ensuring that the needs of socially disadvantaged pupils are adequately assessed and addressed </w:t>
            </w:r>
          </w:p>
          <w:p w14:paraId="32C85750" w14:textId="77777777" w:rsidR="0043575B" w:rsidRPr="00DE7707" w:rsidRDefault="0043575B" w:rsidP="00EC46E4">
            <w:pPr>
              <w:rPr>
                <w:sz w:val="20"/>
                <w:szCs w:val="20"/>
              </w:rPr>
            </w:pPr>
            <w:r w:rsidRPr="00DE7707">
              <w:rPr>
                <w:sz w:val="20"/>
                <w:szCs w:val="20"/>
              </w:rPr>
              <w:t xml:space="preserve">• In making provision for socially disadvantaged pupils, we recognise that not all pupils who receive free school meals will be socially disadvantaged </w:t>
            </w:r>
          </w:p>
          <w:p w14:paraId="1B7A1ED7" w14:textId="77777777" w:rsidR="0043575B" w:rsidRPr="00DE7707" w:rsidRDefault="0043575B" w:rsidP="00EC46E4">
            <w:pPr>
              <w:rPr>
                <w:sz w:val="20"/>
                <w:szCs w:val="20"/>
              </w:rPr>
            </w:pPr>
            <w:r w:rsidRPr="00DE7707">
              <w:rPr>
                <w:sz w:val="20"/>
                <w:szCs w:val="20"/>
              </w:rPr>
              <w:t xml:space="preserve">• We also recognise that not all pupils who are socially disadvantaged are registered or qualify for free school meals. We reserve the right to allocate the Pupil Premium funding to support any pupil or groups of pupils the school has legitimately identified as being socially disadvantaged. </w:t>
            </w:r>
          </w:p>
          <w:p w14:paraId="66B541FC" w14:textId="49F34B70" w:rsidR="00EC46E4" w:rsidRDefault="00EC46E4" w:rsidP="00EC46E4">
            <w:pPr>
              <w:rPr>
                <w:b/>
                <w:sz w:val="20"/>
                <w:szCs w:val="20"/>
                <w:u w:val="single"/>
              </w:rPr>
            </w:pPr>
            <w:r w:rsidRPr="00DE7707">
              <w:rPr>
                <w:b/>
                <w:sz w:val="20"/>
                <w:szCs w:val="20"/>
                <w:u w:val="single"/>
              </w:rPr>
              <w:t>School Context</w:t>
            </w:r>
          </w:p>
          <w:p w14:paraId="15A1EA99" w14:textId="406B23CA" w:rsidR="00E039DB" w:rsidRDefault="00E039DB" w:rsidP="00EC46E4">
            <w:pPr>
              <w:rPr>
                <w:sz w:val="20"/>
                <w:szCs w:val="20"/>
              </w:rPr>
            </w:pPr>
            <w:r w:rsidRPr="00E039DB">
              <w:rPr>
                <w:sz w:val="20"/>
                <w:szCs w:val="20"/>
              </w:rPr>
              <w:t xml:space="preserve">The 2023 Integrated Data Set, published in </w:t>
            </w:r>
            <w:r w:rsidR="006A0678">
              <w:rPr>
                <w:sz w:val="20"/>
                <w:szCs w:val="20"/>
              </w:rPr>
              <w:t>November</w:t>
            </w:r>
            <w:r w:rsidRPr="00E039DB">
              <w:rPr>
                <w:sz w:val="20"/>
                <w:szCs w:val="20"/>
              </w:rPr>
              <w:t xml:space="preserve"> of this year, shows the following </w:t>
            </w:r>
            <w:r>
              <w:rPr>
                <w:sz w:val="20"/>
                <w:szCs w:val="20"/>
              </w:rPr>
              <w:t>data in r</w:t>
            </w:r>
            <w:r w:rsidRPr="00E039DB">
              <w:rPr>
                <w:sz w:val="20"/>
                <w:szCs w:val="20"/>
              </w:rPr>
              <w:t>egards to levels of deprivation within the school community:</w:t>
            </w:r>
          </w:p>
          <w:p w14:paraId="293F99D5" w14:textId="76E37441" w:rsidR="00E039DB" w:rsidRPr="00E039DB" w:rsidRDefault="00E039DB" w:rsidP="00EC46E4">
            <w:pPr>
              <w:rPr>
                <w:sz w:val="20"/>
                <w:szCs w:val="20"/>
              </w:rPr>
            </w:pPr>
            <w:r>
              <w:rPr>
                <w:noProof/>
              </w:rPr>
              <w:drawing>
                <wp:inline distT="0" distB="0" distL="0" distR="0" wp14:anchorId="0EEFC99E" wp14:editId="20166A5F">
                  <wp:extent cx="6029960" cy="3538220"/>
                  <wp:effectExtent l="0" t="0" r="889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29960" cy="3538220"/>
                          </a:xfrm>
                          <a:prstGeom prst="rect">
                            <a:avLst/>
                          </a:prstGeom>
                        </pic:spPr>
                      </pic:pic>
                    </a:graphicData>
                  </a:graphic>
                </wp:inline>
              </w:drawing>
            </w:r>
          </w:p>
          <w:p w14:paraId="388C55F3" w14:textId="77777777" w:rsidR="00E039DB" w:rsidRPr="00DE7707" w:rsidRDefault="00E039DB" w:rsidP="00EC46E4">
            <w:pPr>
              <w:rPr>
                <w:b/>
                <w:sz w:val="20"/>
                <w:szCs w:val="20"/>
                <w:u w:val="single"/>
              </w:rPr>
            </w:pPr>
          </w:p>
          <w:p w14:paraId="09BBB793" w14:textId="797B4C66" w:rsidR="00D45F40" w:rsidRPr="00DE7707" w:rsidRDefault="00EC46E4" w:rsidP="00EC46E4">
            <w:pPr>
              <w:rPr>
                <w:color w:val="auto"/>
                <w:sz w:val="20"/>
                <w:szCs w:val="20"/>
              </w:rPr>
            </w:pPr>
            <w:r w:rsidRPr="00DE7707">
              <w:rPr>
                <w:rFonts w:cs="Arial"/>
                <w:bCs/>
                <w:color w:val="auto"/>
                <w:sz w:val="20"/>
                <w:szCs w:val="20"/>
                <w:shd w:val="clear" w:color="auto" w:fill="FFFFFF"/>
              </w:rPr>
              <w:t xml:space="preserve">The school is situated in </w:t>
            </w:r>
            <w:proofErr w:type="spellStart"/>
            <w:r w:rsidRPr="00DE7707">
              <w:rPr>
                <w:rFonts w:cs="Arial"/>
                <w:bCs/>
                <w:color w:val="auto"/>
                <w:sz w:val="20"/>
                <w:szCs w:val="20"/>
                <w:shd w:val="clear" w:color="auto" w:fill="FFFFFF"/>
              </w:rPr>
              <w:t>Openshaw</w:t>
            </w:r>
            <w:proofErr w:type="spellEnd"/>
            <w:r w:rsidRPr="00DE7707">
              <w:rPr>
                <w:rFonts w:cs="Arial"/>
                <w:color w:val="auto"/>
                <w:sz w:val="20"/>
                <w:szCs w:val="20"/>
                <w:shd w:val="clear" w:color="auto" w:fill="FFFFFF"/>
              </w:rPr>
              <w:t>, a suburb of </w:t>
            </w:r>
            <w:hyperlink r:id="rId9" w:tooltip="Manchester" w:history="1">
              <w:r w:rsidRPr="00DE7707">
                <w:rPr>
                  <w:rFonts w:cs="Arial"/>
                  <w:color w:val="auto"/>
                  <w:sz w:val="20"/>
                  <w:szCs w:val="20"/>
                  <w:shd w:val="clear" w:color="auto" w:fill="FFFFFF"/>
                </w:rPr>
                <w:t>Manchester</w:t>
              </w:r>
            </w:hyperlink>
            <w:r w:rsidRPr="00DE7707">
              <w:rPr>
                <w:rFonts w:cs="Arial"/>
                <w:color w:val="auto"/>
                <w:sz w:val="20"/>
                <w:szCs w:val="20"/>
                <w:shd w:val="clear" w:color="auto" w:fill="FFFFFF"/>
              </w:rPr>
              <w:t>, England, about three miles east of the </w:t>
            </w:r>
            <w:hyperlink r:id="rId10" w:history="1">
              <w:r w:rsidRPr="00DE7707">
                <w:rPr>
                  <w:rFonts w:cs="Arial"/>
                  <w:color w:val="auto"/>
                  <w:sz w:val="20"/>
                  <w:szCs w:val="20"/>
                  <w:shd w:val="clear" w:color="auto" w:fill="FFFFFF"/>
                </w:rPr>
                <w:t>city centre</w:t>
              </w:r>
            </w:hyperlink>
            <w:r w:rsidRPr="00DE7707">
              <w:rPr>
                <w:color w:val="auto"/>
                <w:sz w:val="20"/>
                <w:szCs w:val="20"/>
              </w:rPr>
              <w:t xml:space="preserve">. </w:t>
            </w:r>
          </w:p>
          <w:p w14:paraId="0A2EDED1" w14:textId="612FB053" w:rsidR="00D45F40" w:rsidRPr="00DE7707" w:rsidRDefault="00D45F40" w:rsidP="00EC46E4">
            <w:pPr>
              <w:rPr>
                <w:color w:val="auto"/>
                <w:sz w:val="20"/>
                <w:szCs w:val="20"/>
              </w:rPr>
            </w:pPr>
            <w:r w:rsidRPr="00DE7707">
              <w:rPr>
                <w:color w:val="auto"/>
                <w:sz w:val="20"/>
                <w:szCs w:val="20"/>
              </w:rPr>
              <w:t>In 2019, this LSOA was ranked 1,165 out of 32,844 in England, where 1 is the most deprived LSOA. This is amongst the 10% most deprived neighbourhoods in the country.</w:t>
            </w:r>
          </w:p>
          <w:p w14:paraId="540DD756" w14:textId="59BB83CA" w:rsidR="00EC46E4" w:rsidRPr="00DE7707" w:rsidRDefault="00EC46E4" w:rsidP="00EC46E4">
            <w:pPr>
              <w:rPr>
                <w:rFonts w:cs="Arial"/>
                <w:sz w:val="20"/>
                <w:szCs w:val="20"/>
              </w:rPr>
            </w:pPr>
            <w:r w:rsidRPr="00DE7707">
              <w:rPr>
                <w:rFonts w:cs="Arial"/>
                <w:sz w:val="20"/>
                <w:szCs w:val="20"/>
              </w:rPr>
              <w:t xml:space="preserve">An Indices of Deprivation Report released in 2019 by Manchester City Council found that 43% of LSOA (Lower Layer Super Output Areas) in Manchester were in the most deprived 10% of the whole country. Clayton and </w:t>
            </w:r>
            <w:proofErr w:type="spellStart"/>
            <w:r w:rsidRPr="00DE7707">
              <w:rPr>
                <w:rFonts w:cs="Arial"/>
                <w:sz w:val="20"/>
                <w:szCs w:val="20"/>
              </w:rPr>
              <w:t>Openshaw</w:t>
            </w:r>
            <w:proofErr w:type="spellEnd"/>
            <w:r w:rsidRPr="00DE7707">
              <w:rPr>
                <w:rFonts w:cs="Arial"/>
                <w:sz w:val="20"/>
                <w:szCs w:val="20"/>
              </w:rPr>
              <w:t xml:space="preserve"> was identified as the 3</w:t>
            </w:r>
            <w:r w:rsidRPr="00DE7707">
              <w:rPr>
                <w:rFonts w:cs="Arial"/>
                <w:sz w:val="20"/>
                <w:szCs w:val="20"/>
                <w:vertAlign w:val="superscript"/>
              </w:rPr>
              <w:t>rd</w:t>
            </w:r>
            <w:r w:rsidRPr="00DE7707">
              <w:rPr>
                <w:rFonts w:cs="Arial"/>
                <w:sz w:val="20"/>
                <w:szCs w:val="20"/>
              </w:rPr>
              <w:t xml:space="preserve"> most deprived ward in Manchester.</w:t>
            </w:r>
          </w:p>
          <w:p w14:paraId="320AD77C" w14:textId="77777777" w:rsidR="00EC46E4" w:rsidRPr="00DE7707" w:rsidRDefault="00EC46E4" w:rsidP="00EC46E4">
            <w:pPr>
              <w:rPr>
                <w:rFonts w:cs="Arial"/>
                <w:sz w:val="20"/>
                <w:szCs w:val="20"/>
              </w:rPr>
            </w:pPr>
            <w:r w:rsidRPr="00DE7707">
              <w:rPr>
                <w:rFonts w:cs="Arial"/>
                <w:sz w:val="20"/>
                <w:szCs w:val="20"/>
              </w:rPr>
              <w:t xml:space="preserve">Clayton and </w:t>
            </w:r>
            <w:proofErr w:type="spellStart"/>
            <w:r w:rsidRPr="00DE7707">
              <w:rPr>
                <w:rFonts w:cs="Arial"/>
                <w:sz w:val="20"/>
                <w:szCs w:val="20"/>
              </w:rPr>
              <w:t>Openshaw</w:t>
            </w:r>
            <w:proofErr w:type="spellEnd"/>
            <w:r w:rsidRPr="00DE7707">
              <w:rPr>
                <w:rFonts w:cs="Arial"/>
                <w:sz w:val="20"/>
                <w:szCs w:val="20"/>
              </w:rPr>
              <w:t xml:space="preserve"> was in the most deprived 10% of areas of the whole country in the following areas:</w:t>
            </w:r>
          </w:p>
          <w:p w14:paraId="64F97055" w14:textId="77777777" w:rsidR="00EC46E4" w:rsidRPr="00DE7707" w:rsidRDefault="00EC46E4" w:rsidP="00EC46E4">
            <w:pPr>
              <w:pStyle w:val="ListParagraph"/>
              <w:numPr>
                <w:ilvl w:val="0"/>
                <w:numId w:val="14"/>
              </w:numPr>
              <w:suppressAutoHyphens w:val="0"/>
              <w:autoSpaceDN/>
              <w:spacing w:after="160" w:line="259" w:lineRule="auto"/>
              <w:rPr>
                <w:rFonts w:cs="Arial"/>
                <w:sz w:val="20"/>
                <w:szCs w:val="20"/>
              </w:rPr>
            </w:pPr>
            <w:r w:rsidRPr="00DE7707">
              <w:rPr>
                <w:rFonts w:cs="Arial"/>
                <w:sz w:val="20"/>
                <w:szCs w:val="20"/>
              </w:rPr>
              <w:t>Income deprivation</w:t>
            </w:r>
          </w:p>
          <w:p w14:paraId="5057673C" w14:textId="77777777" w:rsidR="00EC46E4" w:rsidRPr="00DE7707" w:rsidRDefault="00EC46E4" w:rsidP="00EC46E4">
            <w:pPr>
              <w:pStyle w:val="ListParagraph"/>
              <w:numPr>
                <w:ilvl w:val="0"/>
                <w:numId w:val="14"/>
              </w:numPr>
              <w:suppressAutoHyphens w:val="0"/>
              <w:autoSpaceDN/>
              <w:spacing w:after="160" w:line="259" w:lineRule="auto"/>
              <w:rPr>
                <w:rFonts w:cs="Arial"/>
                <w:sz w:val="20"/>
                <w:szCs w:val="20"/>
              </w:rPr>
            </w:pPr>
            <w:r w:rsidRPr="00DE7707">
              <w:rPr>
                <w:rFonts w:cs="Arial"/>
                <w:sz w:val="20"/>
                <w:szCs w:val="20"/>
              </w:rPr>
              <w:t>Income deprivation  affecting children</w:t>
            </w:r>
          </w:p>
          <w:p w14:paraId="44205A63" w14:textId="77777777" w:rsidR="00EC46E4" w:rsidRPr="00DE7707" w:rsidRDefault="00EC46E4" w:rsidP="00EC46E4">
            <w:pPr>
              <w:pStyle w:val="ListParagraph"/>
              <w:numPr>
                <w:ilvl w:val="0"/>
                <w:numId w:val="14"/>
              </w:numPr>
              <w:suppressAutoHyphens w:val="0"/>
              <w:autoSpaceDN/>
              <w:spacing w:after="160" w:line="259" w:lineRule="auto"/>
              <w:rPr>
                <w:rFonts w:cs="Arial"/>
                <w:sz w:val="20"/>
                <w:szCs w:val="20"/>
              </w:rPr>
            </w:pPr>
            <w:r w:rsidRPr="00DE7707">
              <w:rPr>
                <w:rFonts w:cs="Arial"/>
                <w:sz w:val="20"/>
                <w:szCs w:val="20"/>
              </w:rPr>
              <w:t>Employment deprivation</w:t>
            </w:r>
          </w:p>
          <w:p w14:paraId="28386FE4" w14:textId="77777777" w:rsidR="00EC46E4" w:rsidRPr="00DE7707" w:rsidRDefault="00EC46E4" w:rsidP="00EC46E4">
            <w:pPr>
              <w:pStyle w:val="ListParagraph"/>
              <w:numPr>
                <w:ilvl w:val="0"/>
                <w:numId w:val="14"/>
              </w:numPr>
              <w:suppressAutoHyphens w:val="0"/>
              <w:autoSpaceDN/>
              <w:spacing w:after="160" w:line="259" w:lineRule="auto"/>
              <w:rPr>
                <w:rFonts w:cs="Arial"/>
                <w:sz w:val="20"/>
                <w:szCs w:val="20"/>
              </w:rPr>
            </w:pPr>
            <w:r w:rsidRPr="00DE7707">
              <w:rPr>
                <w:rFonts w:cs="Arial"/>
                <w:sz w:val="20"/>
                <w:szCs w:val="20"/>
              </w:rPr>
              <w:t>Health deprivation</w:t>
            </w:r>
          </w:p>
          <w:p w14:paraId="18295533" w14:textId="77777777" w:rsidR="00EC46E4" w:rsidRPr="00DE7707" w:rsidRDefault="00EC46E4" w:rsidP="00EC46E4">
            <w:pPr>
              <w:pStyle w:val="ListParagraph"/>
              <w:numPr>
                <w:ilvl w:val="0"/>
                <w:numId w:val="14"/>
              </w:numPr>
              <w:suppressAutoHyphens w:val="0"/>
              <w:autoSpaceDN/>
              <w:spacing w:after="160" w:line="259" w:lineRule="auto"/>
              <w:rPr>
                <w:rFonts w:cs="Arial"/>
                <w:sz w:val="20"/>
                <w:szCs w:val="20"/>
              </w:rPr>
            </w:pPr>
            <w:r w:rsidRPr="00DE7707">
              <w:rPr>
                <w:rFonts w:cs="Arial"/>
                <w:sz w:val="20"/>
                <w:szCs w:val="20"/>
              </w:rPr>
              <w:t>Education, skills and training deprivation</w:t>
            </w:r>
          </w:p>
          <w:p w14:paraId="04B63111" w14:textId="16CD7628" w:rsidR="00EC46E4" w:rsidRPr="00DE7707" w:rsidRDefault="00EC46E4" w:rsidP="00EC46E4">
            <w:pPr>
              <w:rPr>
                <w:rFonts w:cs="Arial"/>
                <w:sz w:val="20"/>
                <w:szCs w:val="20"/>
              </w:rPr>
            </w:pPr>
            <w:r w:rsidRPr="00DE7707">
              <w:rPr>
                <w:rFonts w:cs="Arial"/>
                <w:sz w:val="20"/>
                <w:szCs w:val="20"/>
              </w:rPr>
              <w:t>For all other categories – crime, barriers to housing and services and living environment – it was in the 2</w:t>
            </w:r>
            <w:r w:rsidRPr="00DE7707">
              <w:rPr>
                <w:rFonts w:cs="Arial"/>
                <w:sz w:val="20"/>
                <w:szCs w:val="20"/>
                <w:vertAlign w:val="superscript"/>
              </w:rPr>
              <w:t>nd</w:t>
            </w:r>
            <w:r w:rsidRPr="00DE7707">
              <w:rPr>
                <w:rFonts w:cs="Arial"/>
                <w:sz w:val="20"/>
                <w:szCs w:val="20"/>
              </w:rPr>
              <w:t xml:space="preserve"> most deprived 10% in the country.</w:t>
            </w:r>
          </w:p>
          <w:p w14:paraId="633AA031" w14:textId="7119D9BB" w:rsidR="009E00F0" w:rsidRPr="00DE7707" w:rsidRDefault="009E00F0" w:rsidP="00EC46E4">
            <w:pPr>
              <w:rPr>
                <w:rFonts w:cs="Arial"/>
                <w:sz w:val="20"/>
                <w:szCs w:val="20"/>
              </w:rPr>
            </w:pPr>
            <w:r w:rsidRPr="00DE7707">
              <w:rPr>
                <w:rFonts w:cs="Arial"/>
                <w:sz w:val="20"/>
                <w:szCs w:val="20"/>
              </w:rPr>
              <w:t>The school community is very diverse with over 40 different languages spoken at home across the school.</w:t>
            </w:r>
          </w:p>
          <w:p w14:paraId="4D93A04F" w14:textId="45CC389E" w:rsidR="00EC46E4" w:rsidRPr="00DE7707" w:rsidRDefault="0043575B" w:rsidP="009E00F0">
            <w:pPr>
              <w:rPr>
                <w:iCs/>
                <w:sz w:val="20"/>
                <w:szCs w:val="20"/>
              </w:rPr>
            </w:pPr>
            <w:r w:rsidRPr="00DE7707">
              <w:rPr>
                <w:iCs/>
                <w:sz w:val="20"/>
                <w:szCs w:val="20"/>
              </w:rPr>
              <w:t xml:space="preserve">For the academic </w:t>
            </w:r>
            <w:r w:rsidR="0054625E">
              <w:rPr>
                <w:iCs/>
                <w:sz w:val="20"/>
                <w:szCs w:val="20"/>
              </w:rPr>
              <w:t>year 2023-2024 the school has 48</w:t>
            </w:r>
            <w:r w:rsidR="009E00F0" w:rsidRPr="00DE7707">
              <w:rPr>
                <w:iCs/>
                <w:sz w:val="20"/>
                <w:szCs w:val="20"/>
              </w:rPr>
              <w:t xml:space="preserve">% </w:t>
            </w:r>
            <w:r w:rsidRPr="00DE7707">
              <w:rPr>
                <w:iCs/>
                <w:sz w:val="20"/>
                <w:szCs w:val="20"/>
              </w:rPr>
              <w:t xml:space="preserve">pupil premium qualifying pupils </w:t>
            </w:r>
            <w:r w:rsidR="009E00F0" w:rsidRPr="00DE7707">
              <w:rPr>
                <w:iCs/>
                <w:sz w:val="20"/>
                <w:szCs w:val="20"/>
              </w:rPr>
              <w:t>of its whole cohort.</w:t>
            </w:r>
          </w:p>
          <w:p w14:paraId="01E32F0B" w14:textId="03F4C69F" w:rsidR="00DE7707" w:rsidRDefault="00DE7707" w:rsidP="009E00F0">
            <w:pPr>
              <w:rPr>
                <w:iCs/>
                <w:sz w:val="20"/>
                <w:szCs w:val="20"/>
              </w:rPr>
            </w:pPr>
            <w:r w:rsidRPr="00DE7707">
              <w:rPr>
                <w:iCs/>
                <w:sz w:val="20"/>
                <w:szCs w:val="20"/>
              </w:rPr>
              <w:t>All strategies used by the school in terms of the Pu</w:t>
            </w:r>
            <w:r w:rsidR="0054625E">
              <w:rPr>
                <w:iCs/>
                <w:sz w:val="20"/>
                <w:szCs w:val="20"/>
              </w:rPr>
              <w:t>pil Premium spend for 2023-2024</w:t>
            </w:r>
            <w:r w:rsidR="00F97BA1">
              <w:rPr>
                <w:iCs/>
                <w:sz w:val="20"/>
                <w:szCs w:val="20"/>
              </w:rPr>
              <w:t xml:space="preserve"> </w:t>
            </w:r>
            <w:r w:rsidRPr="00DE7707">
              <w:rPr>
                <w:iCs/>
                <w:sz w:val="20"/>
                <w:szCs w:val="20"/>
              </w:rPr>
              <w:t xml:space="preserve">have been </w:t>
            </w:r>
            <w:r>
              <w:rPr>
                <w:iCs/>
                <w:sz w:val="20"/>
                <w:szCs w:val="20"/>
              </w:rPr>
              <w:t xml:space="preserve">researched and </w:t>
            </w:r>
            <w:r w:rsidRPr="00DE7707">
              <w:rPr>
                <w:iCs/>
                <w:sz w:val="20"/>
                <w:szCs w:val="20"/>
              </w:rPr>
              <w:t>assessed using the EE</w:t>
            </w:r>
            <w:r w:rsidR="0054625E">
              <w:rPr>
                <w:iCs/>
                <w:sz w:val="20"/>
                <w:szCs w:val="20"/>
              </w:rPr>
              <w:t>F Teaching and Learning Toolkit predominantly, as well as other sources of evidence.</w:t>
            </w:r>
          </w:p>
          <w:p w14:paraId="21540ABC" w14:textId="77777777" w:rsidR="00ED00D0" w:rsidRPr="00ED00D0" w:rsidRDefault="00ED00D0" w:rsidP="00ED00D0">
            <w:pPr>
              <w:rPr>
                <w:rFonts w:cs="Arial"/>
                <w:b/>
                <w:sz w:val="20"/>
                <w:szCs w:val="20"/>
              </w:rPr>
            </w:pPr>
            <w:r w:rsidRPr="00ED00D0">
              <w:rPr>
                <w:rFonts w:cs="Arial"/>
                <w:b/>
                <w:sz w:val="20"/>
                <w:szCs w:val="20"/>
              </w:rPr>
              <w:t>What are we doing this year?</w:t>
            </w:r>
          </w:p>
          <w:p w14:paraId="1780BBE6" w14:textId="7704F7BD" w:rsidR="00A23A0F" w:rsidRDefault="00A23A0F" w:rsidP="00ED00D0">
            <w:pPr>
              <w:pStyle w:val="ListParagraph"/>
              <w:numPr>
                <w:ilvl w:val="0"/>
                <w:numId w:val="19"/>
              </w:numPr>
              <w:suppressAutoHyphens w:val="0"/>
              <w:autoSpaceDN/>
              <w:spacing w:after="160" w:line="259" w:lineRule="auto"/>
              <w:rPr>
                <w:rFonts w:cs="Arial"/>
                <w:sz w:val="20"/>
                <w:szCs w:val="20"/>
              </w:rPr>
            </w:pPr>
            <w:r>
              <w:rPr>
                <w:rFonts w:cs="Arial"/>
                <w:sz w:val="20"/>
                <w:szCs w:val="20"/>
              </w:rPr>
              <w:t xml:space="preserve">Quality First </w:t>
            </w:r>
            <w:r w:rsidR="00F541D0">
              <w:rPr>
                <w:rFonts w:cs="Arial"/>
                <w:sz w:val="20"/>
                <w:szCs w:val="20"/>
              </w:rPr>
              <w:t>Teaching is the main drive</w:t>
            </w:r>
            <w:r>
              <w:rPr>
                <w:rFonts w:cs="Arial"/>
                <w:sz w:val="20"/>
                <w:szCs w:val="20"/>
              </w:rPr>
              <w:t>r for improvement in outcomes for PPQ children</w:t>
            </w:r>
          </w:p>
          <w:p w14:paraId="14A105A0" w14:textId="0A31DFC3" w:rsidR="00E039DB" w:rsidRDefault="00E039DB" w:rsidP="00ED00D0">
            <w:pPr>
              <w:pStyle w:val="ListParagraph"/>
              <w:numPr>
                <w:ilvl w:val="0"/>
                <w:numId w:val="19"/>
              </w:numPr>
              <w:suppressAutoHyphens w:val="0"/>
              <w:autoSpaceDN/>
              <w:spacing w:after="160" w:line="259" w:lineRule="auto"/>
              <w:rPr>
                <w:rFonts w:cs="Arial"/>
                <w:sz w:val="20"/>
                <w:szCs w:val="20"/>
              </w:rPr>
            </w:pPr>
            <w:r>
              <w:rPr>
                <w:rFonts w:cs="Arial"/>
                <w:sz w:val="20"/>
                <w:szCs w:val="20"/>
              </w:rPr>
              <w:t>Targeted interventions across the school are also used to help close the gap between PPQ and non-PPQ children</w:t>
            </w:r>
          </w:p>
          <w:p w14:paraId="302C988D" w14:textId="5CADBBBD" w:rsidR="00ED00D0" w:rsidRPr="00ED00D0" w:rsidRDefault="00ED00D0" w:rsidP="00ED00D0">
            <w:pPr>
              <w:pStyle w:val="ListParagraph"/>
              <w:numPr>
                <w:ilvl w:val="0"/>
                <w:numId w:val="19"/>
              </w:numPr>
              <w:suppressAutoHyphens w:val="0"/>
              <w:autoSpaceDN/>
              <w:spacing w:after="160" w:line="259" w:lineRule="auto"/>
              <w:rPr>
                <w:rFonts w:cs="Arial"/>
                <w:sz w:val="20"/>
                <w:szCs w:val="20"/>
              </w:rPr>
            </w:pPr>
            <w:r w:rsidRPr="00ED00D0">
              <w:rPr>
                <w:rFonts w:cs="Arial"/>
                <w:sz w:val="20"/>
                <w:szCs w:val="20"/>
              </w:rPr>
              <w:t xml:space="preserve">Subject leadership focus for the whole year is </w:t>
            </w:r>
            <w:r w:rsidR="0054625E">
              <w:rPr>
                <w:rFonts w:cs="Arial"/>
                <w:sz w:val="20"/>
                <w:szCs w:val="20"/>
              </w:rPr>
              <w:t xml:space="preserve">again </w:t>
            </w:r>
            <w:r w:rsidR="00E039DB" w:rsidRPr="00ED00D0">
              <w:rPr>
                <w:rFonts w:cs="Arial"/>
                <w:sz w:val="20"/>
                <w:szCs w:val="20"/>
              </w:rPr>
              <w:t>centred</w:t>
            </w:r>
            <w:r w:rsidRPr="00ED00D0">
              <w:rPr>
                <w:rFonts w:cs="Arial"/>
                <w:sz w:val="20"/>
                <w:szCs w:val="20"/>
              </w:rPr>
              <w:t xml:space="preserve"> around PPQ, SEND and EAL pupils – observations, pupil and staff voice, work scrutinies</w:t>
            </w:r>
          </w:p>
          <w:p w14:paraId="39E5334A" w14:textId="1F97507B" w:rsidR="00ED00D0" w:rsidRPr="00ED00D0" w:rsidRDefault="0054625E" w:rsidP="00ED00D0">
            <w:pPr>
              <w:pStyle w:val="ListParagraph"/>
              <w:numPr>
                <w:ilvl w:val="0"/>
                <w:numId w:val="19"/>
              </w:numPr>
              <w:suppressAutoHyphens w:val="0"/>
              <w:autoSpaceDN/>
              <w:spacing w:after="160" w:line="259" w:lineRule="auto"/>
              <w:rPr>
                <w:rFonts w:cs="Arial"/>
                <w:sz w:val="20"/>
                <w:szCs w:val="20"/>
              </w:rPr>
            </w:pPr>
            <w:r>
              <w:rPr>
                <w:rFonts w:cs="Arial"/>
                <w:sz w:val="20"/>
                <w:szCs w:val="20"/>
              </w:rPr>
              <w:t>Before and after school tuition for PPQ pupils</w:t>
            </w:r>
            <w:r w:rsidR="00ED00D0" w:rsidRPr="00ED00D0">
              <w:rPr>
                <w:rFonts w:cs="Arial"/>
                <w:sz w:val="20"/>
                <w:szCs w:val="20"/>
              </w:rPr>
              <w:t xml:space="preserve"> pupil</w:t>
            </w:r>
            <w:r>
              <w:rPr>
                <w:rFonts w:cs="Arial"/>
                <w:sz w:val="20"/>
                <w:szCs w:val="20"/>
              </w:rPr>
              <w:t>s running across the school from Spring Term</w:t>
            </w:r>
          </w:p>
          <w:p w14:paraId="64EB98CD" w14:textId="77777777" w:rsidR="00ED00D0" w:rsidRPr="0054625E" w:rsidRDefault="00ED00D0" w:rsidP="0054625E">
            <w:pPr>
              <w:pStyle w:val="ListParagraph"/>
              <w:numPr>
                <w:ilvl w:val="0"/>
                <w:numId w:val="19"/>
              </w:numPr>
              <w:suppressAutoHyphens w:val="0"/>
              <w:autoSpaceDN/>
              <w:spacing w:after="160" w:line="259" w:lineRule="auto"/>
              <w:rPr>
                <w:iCs/>
              </w:rPr>
            </w:pPr>
            <w:r w:rsidRPr="00ED00D0">
              <w:rPr>
                <w:rFonts w:cs="Arial"/>
                <w:sz w:val="20"/>
                <w:szCs w:val="20"/>
              </w:rPr>
              <w:t>Subject leadership cover to ensure quality first teaching across the entirety of the curriculum</w:t>
            </w:r>
          </w:p>
          <w:p w14:paraId="0D9CDE12" w14:textId="1C514094" w:rsidR="0054625E" w:rsidRPr="0054625E" w:rsidRDefault="0054625E" w:rsidP="0054625E">
            <w:pPr>
              <w:pStyle w:val="ListParagraph"/>
              <w:numPr>
                <w:ilvl w:val="0"/>
                <w:numId w:val="19"/>
              </w:numPr>
              <w:rPr>
                <w:iCs/>
                <w:sz w:val="20"/>
                <w:szCs w:val="20"/>
              </w:rPr>
            </w:pPr>
            <w:r w:rsidRPr="0054625E">
              <w:rPr>
                <w:iCs/>
                <w:sz w:val="20"/>
                <w:szCs w:val="20"/>
              </w:rPr>
              <w:t>Pupil Premium Tracking Grids produced</w:t>
            </w:r>
            <w:r>
              <w:rPr>
                <w:iCs/>
                <w:sz w:val="20"/>
                <w:szCs w:val="20"/>
              </w:rPr>
              <w:t xml:space="preserve"> by PPQ Lead</w:t>
            </w:r>
            <w:r w:rsidRPr="0054625E">
              <w:rPr>
                <w:iCs/>
                <w:sz w:val="20"/>
                <w:szCs w:val="20"/>
              </w:rPr>
              <w:t xml:space="preserve"> for reading, Writing and Maths for each year group.</w:t>
            </w:r>
          </w:p>
          <w:p w14:paraId="5B863F5D" w14:textId="2C971B2F" w:rsidR="0054625E" w:rsidRPr="0054625E" w:rsidRDefault="0054625E" w:rsidP="0054625E">
            <w:pPr>
              <w:pStyle w:val="ListParagraph"/>
              <w:numPr>
                <w:ilvl w:val="0"/>
                <w:numId w:val="19"/>
              </w:numPr>
              <w:rPr>
                <w:iCs/>
                <w:sz w:val="20"/>
                <w:szCs w:val="20"/>
              </w:rPr>
            </w:pPr>
            <w:r w:rsidRPr="0054625E">
              <w:rPr>
                <w:iCs/>
                <w:sz w:val="20"/>
                <w:szCs w:val="20"/>
              </w:rPr>
              <w:t>Weekly Meetings between class teachers and L</w:t>
            </w:r>
            <w:r w:rsidR="00A238F9">
              <w:rPr>
                <w:iCs/>
                <w:sz w:val="20"/>
                <w:szCs w:val="20"/>
              </w:rPr>
              <w:t>earning Support Assistants (L</w:t>
            </w:r>
            <w:r w:rsidRPr="0054625E">
              <w:rPr>
                <w:iCs/>
                <w:sz w:val="20"/>
                <w:szCs w:val="20"/>
              </w:rPr>
              <w:t>SAs</w:t>
            </w:r>
            <w:r w:rsidR="00A238F9">
              <w:rPr>
                <w:iCs/>
                <w:sz w:val="20"/>
                <w:szCs w:val="20"/>
              </w:rPr>
              <w:t>)</w:t>
            </w:r>
            <w:r w:rsidRPr="0054625E">
              <w:rPr>
                <w:iCs/>
                <w:sz w:val="20"/>
                <w:szCs w:val="20"/>
              </w:rPr>
              <w:t xml:space="preserve"> to involve discussion on PPQ children – progress, barriers, interventions etc. This carries on from last year when this was introduced</w:t>
            </w:r>
          </w:p>
          <w:p w14:paraId="6ABF63D8" w14:textId="4CC46D2E" w:rsidR="0054625E" w:rsidRPr="00E039DB" w:rsidRDefault="0054625E" w:rsidP="00E039DB">
            <w:pPr>
              <w:pStyle w:val="ListParagraph"/>
              <w:numPr>
                <w:ilvl w:val="0"/>
                <w:numId w:val="19"/>
              </w:numPr>
              <w:rPr>
                <w:iCs/>
                <w:sz w:val="20"/>
                <w:szCs w:val="20"/>
              </w:rPr>
            </w:pPr>
            <w:r w:rsidRPr="0054625E">
              <w:rPr>
                <w:iCs/>
                <w:sz w:val="20"/>
                <w:szCs w:val="20"/>
              </w:rPr>
              <w:t xml:space="preserve">Bi-weekly case study conversation with PPQ child to begin. This will run for 6 sessions across the term. </w:t>
            </w:r>
            <w:r w:rsidRPr="00E039DB">
              <w:rPr>
                <w:iCs/>
                <w:sz w:val="20"/>
                <w:szCs w:val="20"/>
              </w:rPr>
              <w:t xml:space="preserve">Each week will have a different focus for questions </w:t>
            </w:r>
          </w:p>
          <w:p w14:paraId="22166954" w14:textId="39435CA4" w:rsidR="0054625E" w:rsidRPr="0054625E" w:rsidRDefault="0054625E" w:rsidP="0054625E">
            <w:pPr>
              <w:pStyle w:val="ListParagraph"/>
              <w:numPr>
                <w:ilvl w:val="0"/>
                <w:numId w:val="19"/>
              </w:numPr>
              <w:rPr>
                <w:iCs/>
                <w:sz w:val="20"/>
                <w:szCs w:val="20"/>
              </w:rPr>
            </w:pPr>
            <w:r w:rsidRPr="0054625E">
              <w:rPr>
                <w:iCs/>
                <w:sz w:val="20"/>
                <w:szCs w:val="20"/>
              </w:rPr>
              <w:t>Pupil Progress sheets to be adapted to show tracking grid progress of PPQ children in each cl</w:t>
            </w:r>
            <w:r>
              <w:rPr>
                <w:iCs/>
                <w:sz w:val="20"/>
                <w:szCs w:val="20"/>
              </w:rPr>
              <w:t>ass. This will be prepared by PPQ lead</w:t>
            </w:r>
            <w:r w:rsidRPr="0054625E">
              <w:rPr>
                <w:iCs/>
                <w:sz w:val="20"/>
                <w:szCs w:val="20"/>
              </w:rPr>
              <w:t xml:space="preserve"> and shared with staff before the Pupil Progress Meetings</w:t>
            </w:r>
          </w:p>
          <w:p w14:paraId="50D38ACA" w14:textId="5B885866" w:rsidR="0054625E" w:rsidRDefault="0054625E" w:rsidP="0054625E">
            <w:pPr>
              <w:pStyle w:val="ListParagraph"/>
              <w:numPr>
                <w:ilvl w:val="0"/>
                <w:numId w:val="19"/>
              </w:numPr>
              <w:rPr>
                <w:iCs/>
                <w:sz w:val="20"/>
                <w:szCs w:val="20"/>
              </w:rPr>
            </w:pPr>
            <w:r w:rsidRPr="0054625E">
              <w:rPr>
                <w:iCs/>
                <w:sz w:val="20"/>
                <w:szCs w:val="20"/>
              </w:rPr>
              <w:t>Pupil Progress meetings will include a case study conversation</w:t>
            </w:r>
          </w:p>
          <w:p w14:paraId="25645B6F" w14:textId="2149B838" w:rsidR="00E039DB" w:rsidRPr="00E039DB" w:rsidRDefault="00E039DB" w:rsidP="00E039DB">
            <w:pPr>
              <w:pStyle w:val="ListParagraph"/>
              <w:numPr>
                <w:ilvl w:val="0"/>
                <w:numId w:val="19"/>
              </w:numPr>
              <w:rPr>
                <w:iCs/>
                <w:sz w:val="20"/>
                <w:szCs w:val="20"/>
              </w:rPr>
            </w:pPr>
            <w:r>
              <w:rPr>
                <w:iCs/>
                <w:sz w:val="20"/>
                <w:szCs w:val="20"/>
              </w:rPr>
              <w:t>Pupils continue to be provided with a range of educational experiences paid for by the school</w:t>
            </w:r>
          </w:p>
          <w:p w14:paraId="2A7D54E9" w14:textId="2B4A8561" w:rsidR="0054625E" w:rsidRPr="0043575B" w:rsidRDefault="0054625E" w:rsidP="0054625E">
            <w:pPr>
              <w:pStyle w:val="ListParagraph"/>
              <w:numPr>
                <w:ilvl w:val="0"/>
                <w:numId w:val="0"/>
              </w:numPr>
              <w:suppressAutoHyphens w:val="0"/>
              <w:autoSpaceDN/>
              <w:spacing w:after="160" w:line="259" w:lineRule="auto"/>
              <w:ind w:left="720"/>
              <w:rPr>
                <w:iCs/>
              </w:rPr>
            </w:pPr>
          </w:p>
        </w:tc>
      </w:tr>
    </w:tbl>
    <w:p w14:paraId="0E7FBFDA" w14:textId="77777777" w:rsidR="00ED00D0" w:rsidRDefault="00ED00D0">
      <w:pPr>
        <w:pStyle w:val="Heading2"/>
        <w:spacing w:before="600"/>
      </w:pPr>
    </w:p>
    <w:p w14:paraId="2A7D54EB" w14:textId="2AFE5C7F"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062CE6"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062CE6" w:rsidRPr="00DE7707" w:rsidRDefault="00062CE6" w:rsidP="00062CE6">
            <w:pPr>
              <w:pStyle w:val="TableRow"/>
              <w:rPr>
                <w:sz w:val="20"/>
                <w:szCs w:val="20"/>
              </w:rPr>
            </w:pPr>
            <w:r w:rsidRPr="00DE7707">
              <w:rPr>
                <w:sz w:val="20"/>
                <w:szCs w:val="20"/>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7D4B5B9E" w:rsidR="006428B2" w:rsidRPr="006428B2" w:rsidRDefault="00A417B5" w:rsidP="006A0678">
            <w:pPr>
              <w:pStyle w:val="TableRowCentered"/>
              <w:jc w:val="left"/>
              <w:rPr>
                <w:rFonts w:cs="Arial"/>
                <w:sz w:val="20"/>
              </w:rPr>
            </w:pPr>
            <w:r>
              <w:rPr>
                <w:rFonts w:cs="Arial"/>
                <w:sz w:val="20"/>
              </w:rPr>
              <w:t>Limited L</w:t>
            </w:r>
            <w:r w:rsidR="00062CE6" w:rsidRPr="00DE7707">
              <w:rPr>
                <w:rFonts w:cs="Arial"/>
                <w:sz w:val="20"/>
              </w:rPr>
              <w:t>anguage and Communication Skills</w:t>
            </w:r>
            <w:r w:rsidR="00DA4BF1">
              <w:rPr>
                <w:rFonts w:cs="Arial"/>
                <w:sz w:val="20"/>
              </w:rPr>
              <w:t xml:space="preserve"> on arrival to school and some still prevalent in KS1 and KS2</w:t>
            </w:r>
            <w:r w:rsidR="006428B2">
              <w:rPr>
                <w:rFonts w:cs="Arial"/>
                <w:sz w:val="20"/>
              </w:rPr>
              <w:t xml:space="preserve">. </w:t>
            </w:r>
            <w:r w:rsidR="006A0678">
              <w:rPr>
                <w:rFonts w:cs="Arial"/>
                <w:sz w:val="20"/>
              </w:rPr>
              <w:t xml:space="preserve">41% of our EYFS cohort for 2023-2024 is EAL. See table below for entry pints for EYFS in regards to Communication and Language </w:t>
            </w:r>
          </w:p>
        </w:tc>
      </w:tr>
      <w:tr w:rsidR="00062CE6"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062CE6" w:rsidRPr="00DE7707" w:rsidRDefault="00062CE6" w:rsidP="00062CE6">
            <w:pPr>
              <w:pStyle w:val="TableRow"/>
              <w:rPr>
                <w:sz w:val="20"/>
                <w:szCs w:val="20"/>
              </w:rPr>
            </w:pPr>
            <w:r w:rsidRPr="00DE7707">
              <w:rPr>
                <w:sz w:val="20"/>
                <w:szCs w:val="20"/>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6812E" w14:textId="77777777" w:rsidR="00062CE6" w:rsidRDefault="00062CE6" w:rsidP="00062CE6">
            <w:pPr>
              <w:pStyle w:val="TableRowCentered"/>
              <w:jc w:val="left"/>
              <w:rPr>
                <w:rFonts w:cs="Arial"/>
                <w:sz w:val="20"/>
              </w:rPr>
            </w:pPr>
            <w:r w:rsidRPr="00DE7707">
              <w:rPr>
                <w:rFonts w:cs="Arial"/>
                <w:sz w:val="20"/>
              </w:rPr>
              <w:t>Low attainment on entry to the Early Years Foundation Stage</w:t>
            </w:r>
            <w:r w:rsidR="00A2224B">
              <w:rPr>
                <w:rFonts w:cs="Arial"/>
                <w:sz w:val="20"/>
              </w:rPr>
              <w:t xml:space="preserve">, based on baseline assessments done after 6 weeks, </w:t>
            </w:r>
            <w:r w:rsidRPr="00DE7707">
              <w:rPr>
                <w:rFonts w:cs="Arial"/>
                <w:sz w:val="20"/>
              </w:rPr>
              <w:t xml:space="preserve"> in all areas</w:t>
            </w:r>
            <w:r w:rsidR="00DA4BF1">
              <w:rPr>
                <w:rFonts w:cs="Arial"/>
                <w:sz w:val="20"/>
              </w:rPr>
              <w:t xml:space="preserve"> of the EYFS Framework</w:t>
            </w:r>
            <w:r w:rsidR="00EF25A3">
              <w:rPr>
                <w:rFonts w:cs="Arial"/>
                <w:sz w:val="20"/>
              </w:rPr>
              <w:t xml:space="preserve">. </w:t>
            </w:r>
          </w:p>
          <w:p w14:paraId="2B53CAC3" w14:textId="77777777" w:rsidR="006428B2" w:rsidRDefault="006428B2" w:rsidP="00062CE6">
            <w:pPr>
              <w:pStyle w:val="TableRowCentered"/>
              <w:jc w:val="left"/>
              <w:rPr>
                <w:sz w:val="20"/>
              </w:rPr>
            </w:pPr>
            <w:r>
              <w:rPr>
                <w:noProof/>
              </w:rPr>
              <w:drawing>
                <wp:inline distT="0" distB="0" distL="0" distR="0" wp14:anchorId="7582BC19" wp14:editId="61CCBF2E">
                  <wp:extent cx="4754880" cy="1697369"/>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83429" cy="1707560"/>
                          </a:xfrm>
                          <a:prstGeom prst="rect">
                            <a:avLst/>
                          </a:prstGeom>
                        </pic:spPr>
                      </pic:pic>
                    </a:graphicData>
                  </a:graphic>
                </wp:inline>
              </w:drawing>
            </w:r>
          </w:p>
          <w:p w14:paraId="2A7D54F4" w14:textId="60866036" w:rsidR="006428B2" w:rsidRPr="00DE7707" w:rsidRDefault="006428B2" w:rsidP="00062CE6">
            <w:pPr>
              <w:pStyle w:val="TableRowCentered"/>
              <w:jc w:val="left"/>
              <w:rPr>
                <w:sz w:val="20"/>
              </w:rPr>
            </w:pPr>
            <w:r>
              <w:rPr>
                <w:noProof/>
              </w:rPr>
              <w:drawing>
                <wp:inline distT="0" distB="0" distL="0" distR="0" wp14:anchorId="1E25D069" wp14:editId="5E44AD1C">
                  <wp:extent cx="4785360" cy="1400384"/>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95599" cy="1403380"/>
                          </a:xfrm>
                          <a:prstGeom prst="rect">
                            <a:avLst/>
                          </a:prstGeom>
                        </pic:spPr>
                      </pic:pic>
                    </a:graphicData>
                  </a:graphic>
                </wp:inline>
              </w:drawing>
            </w:r>
          </w:p>
        </w:tc>
      </w:tr>
      <w:tr w:rsidR="0064316A"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64316A" w:rsidRPr="00DE7707" w:rsidRDefault="0064316A" w:rsidP="0064316A">
            <w:pPr>
              <w:pStyle w:val="TableRow"/>
              <w:rPr>
                <w:sz w:val="20"/>
                <w:szCs w:val="20"/>
              </w:rPr>
            </w:pPr>
            <w:r w:rsidRPr="00DE7707">
              <w:rPr>
                <w:sz w:val="20"/>
                <w:szCs w:val="20"/>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0E52CB2A" w:rsidR="0064316A" w:rsidRPr="00DE7707" w:rsidRDefault="0064316A" w:rsidP="00C33FC7">
            <w:pPr>
              <w:pStyle w:val="TableRowCentered"/>
              <w:jc w:val="left"/>
              <w:rPr>
                <w:sz w:val="20"/>
              </w:rPr>
            </w:pPr>
            <w:r>
              <w:rPr>
                <w:rFonts w:cs="Arial"/>
                <w:sz w:val="20"/>
              </w:rPr>
              <w:t>Area of social deprivation means that real world experiences are often limited for the school cohort. Opportunities to develop cultural capital across the school through a programme of curriculum enrichment where learning opportunities are further enhanced in a variety of ways is essential</w:t>
            </w:r>
            <w:r w:rsidR="006A0678">
              <w:rPr>
                <w:rFonts w:cs="Arial"/>
                <w:sz w:val="20"/>
              </w:rPr>
              <w:t xml:space="preserve">. </w:t>
            </w:r>
          </w:p>
        </w:tc>
      </w:tr>
      <w:tr w:rsidR="0064316A"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64316A" w:rsidRPr="00DE7707" w:rsidRDefault="0064316A" w:rsidP="0064316A">
            <w:pPr>
              <w:pStyle w:val="TableRow"/>
              <w:rPr>
                <w:sz w:val="20"/>
                <w:szCs w:val="20"/>
              </w:rPr>
            </w:pPr>
            <w:r w:rsidRPr="00DE7707">
              <w:rPr>
                <w:sz w:val="20"/>
                <w:szCs w:val="20"/>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CDB68" w14:textId="77777777" w:rsidR="006428B2" w:rsidRDefault="006428B2" w:rsidP="0064316A">
            <w:pPr>
              <w:pStyle w:val="TableRowCentered"/>
              <w:jc w:val="left"/>
              <w:rPr>
                <w:rFonts w:cs="Arial"/>
                <w:sz w:val="20"/>
              </w:rPr>
            </w:pPr>
            <w:r>
              <w:rPr>
                <w:rFonts w:cs="Arial"/>
                <w:sz w:val="20"/>
              </w:rPr>
              <w:t>Additional Needs of PPQ children:</w:t>
            </w:r>
          </w:p>
          <w:p w14:paraId="02C31B87" w14:textId="1F09D50F" w:rsidR="0064316A" w:rsidRDefault="00E039DB" w:rsidP="0064316A">
            <w:pPr>
              <w:pStyle w:val="TableRowCentered"/>
              <w:jc w:val="left"/>
              <w:rPr>
                <w:rFonts w:cs="Arial"/>
                <w:sz w:val="20"/>
              </w:rPr>
            </w:pPr>
            <w:r>
              <w:rPr>
                <w:rFonts w:cs="Arial"/>
                <w:sz w:val="20"/>
              </w:rPr>
              <w:t>27% of</w:t>
            </w:r>
            <w:r w:rsidR="0064316A">
              <w:rPr>
                <w:rFonts w:cs="Arial"/>
                <w:sz w:val="20"/>
              </w:rPr>
              <w:t xml:space="preserve"> disadvantaged pupils have a dual SEND need</w:t>
            </w:r>
          </w:p>
          <w:p w14:paraId="2A7D54FA" w14:textId="1EB77468" w:rsidR="006428B2" w:rsidRPr="00DE7707" w:rsidRDefault="006428B2" w:rsidP="008D1CDD">
            <w:pPr>
              <w:pStyle w:val="TableRowCentered"/>
              <w:jc w:val="left"/>
              <w:rPr>
                <w:iCs/>
                <w:sz w:val="20"/>
              </w:rPr>
            </w:pPr>
            <w:r>
              <w:rPr>
                <w:rFonts w:cs="Arial"/>
                <w:sz w:val="20"/>
              </w:rPr>
              <w:t>49% of PPQ children are EAL</w:t>
            </w:r>
            <w:r>
              <w:rPr>
                <w:iCs/>
                <w:sz w:val="20"/>
              </w:rPr>
              <w:t xml:space="preserve"> </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5524"/>
        <w:gridCol w:w="3962"/>
      </w:tblGrid>
      <w:tr w:rsidR="00C56483" w14:paraId="2A7D5503" w14:textId="77777777" w:rsidTr="00473792">
        <w:tc>
          <w:tcPr>
            <w:tcW w:w="5524" w:type="dxa"/>
            <w:tcBorders>
              <w:top w:val="single" w:sz="4" w:space="0" w:color="000000"/>
              <w:left w:val="single" w:sz="4" w:space="0" w:color="000000"/>
              <w:bottom w:val="single" w:sz="4" w:space="0" w:color="000000"/>
              <w:right w:val="single" w:sz="4" w:space="0" w:color="000000"/>
            </w:tcBorders>
            <w:shd w:val="clear" w:color="auto" w:fill="D8E2E9"/>
          </w:tcPr>
          <w:p w14:paraId="2A7D5501" w14:textId="5A7285A4" w:rsidR="00C56483" w:rsidRDefault="00C56483">
            <w:pPr>
              <w:pStyle w:val="TableHeader"/>
              <w:jc w:val="left"/>
            </w:pPr>
            <w:r>
              <w:t>Intended outcome</w:t>
            </w:r>
          </w:p>
        </w:tc>
        <w:tc>
          <w:tcPr>
            <w:tcW w:w="396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C56483" w:rsidRDefault="00C56483">
            <w:pPr>
              <w:pStyle w:val="TableHeader"/>
              <w:jc w:val="left"/>
            </w:pPr>
            <w:r>
              <w:t>Success criteria</w:t>
            </w:r>
          </w:p>
        </w:tc>
      </w:tr>
      <w:tr w:rsidR="00C56483" w14:paraId="2A7D5506" w14:textId="77777777" w:rsidTr="00473792">
        <w:tc>
          <w:tcPr>
            <w:tcW w:w="5524" w:type="dxa"/>
            <w:tcBorders>
              <w:top w:val="single" w:sz="4" w:space="0" w:color="000000"/>
              <w:left w:val="single" w:sz="4" w:space="0" w:color="000000"/>
              <w:bottom w:val="single" w:sz="4" w:space="0" w:color="000000"/>
              <w:right w:val="single" w:sz="4" w:space="0" w:color="000000"/>
            </w:tcBorders>
          </w:tcPr>
          <w:p w14:paraId="2A7D5504" w14:textId="738E0BA1" w:rsidR="00473792" w:rsidRPr="00473792" w:rsidRDefault="00473792" w:rsidP="008D1CDD">
            <w:pPr>
              <w:pStyle w:val="TableRow"/>
              <w:rPr>
                <w:rFonts w:cs="Arial"/>
                <w:sz w:val="20"/>
                <w:szCs w:val="20"/>
              </w:rPr>
            </w:pPr>
            <w:r w:rsidRPr="00473792">
              <w:rPr>
                <w:rFonts w:cs="Arial"/>
                <w:sz w:val="20"/>
                <w:szCs w:val="20"/>
              </w:rPr>
              <w:t>Disadvantag</w:t>
            </w:r>
            <w:r>
              <w:rPr>
                <w:rFonts w:cs="Arial"/>
                <w:sz w:val="20"/>
                <w:szCs w:val="20"/>
              </w:rPr>
              <w:t xml:space="preserve">ed pupils maintain at least the </w:t>
            </w:r>
            <w:r w:rsidRPr="00473792">
              <w:rPr>
                <w:rFonts w:cs="Arial"/>
                <w:sz w:val="20"/>
                <w:szCs w:val="20"/>
              </w:rPr>
              <w:t xml:space="preserve">standard of </w:t>
            </w:r>
            <w:r>
              <w:rPr>
                <w:rFonts w:cs="Arial"/>
                <w:sz w:val="20"/>
                <w:szCs w:val="20"/>
              </w:rPr>
              <w:t xml:space="preserve">attainment they achieved at the </w:t>
            </w:r>
            <w:r w:rsidRPr="00473792">
              <w:rPr>
                <w:rFonts w:cs="Arial"/>
                <w:sz w:val="20"/>
                <w:szCs w:val="20"/>
              </w:rPr>
              <w:t xml:space="preserve">end of the </w:t>
            </w:r>
            <w:r>
              <w:rPr>
                <w:rFonts w:cs="Arial"/>
                <w:sz w:val="20"/>
                <w:szCs w:val="20"/>
              </w:rPr>
              <w:t xml:space="preserve">previous year (Reading, Writing and </w:t>
            </w:r>
            <w:r w:rsidRPr="00473792">
              <w:rPr>
                <w:rFonts w:cs="Arial"/>
                <w:sz w:val="20"/>
                <w:szCs w:val="20"/>
              </w:rPr>
              <w:t>Maths) an</w:t>
            </w:r>
            <w:r>
              <w:rPr>
                <w:rFonts w:cs="Arial"/>
                <w:sz w:val="20"/>
                <w:szCs w:val="20"/>
              </w:rPr>
              <w:t xml:space="preserve">d previous key stage; those who </w:t>
            </w:r>
            <w:r w:rsidRPr="00473792">
              <w:rPr>
                <w:rFonts w:cs="Arial"/>
                <w:sz w:val="20"/>
                <w:szCs w:val="20"/>
              </w:rPr>
              <w:t>have ‘fallen be</w:t>
            </w:r>
            <w:r>
              <w:rPr>
                <w:rFonts w:cs="Arial"/>
                <w:sz w:val="20"/>
                <w:szCs w:val="20"/>
              </w:rPr>
              <w:t xml:space="preserve">hind’ make accelerated progress </w:t>
            </w:r>
            <w:r w:rsidRPr="00473792">
              <w:rPr>
                <w:rFonts w:cs="Arial"/>
                <w:sz w:val="20"/>
                <w:szCs w:val="20"/>
              </w:rPr>
              <w:t>and ‘catch</w:t>
            </w:r>
            <w:r>
              <w:rPr>
                <w:rFonts w:cs="Arial"/>
                <w:sz w:val="20"/>
                <w:szCs w:val="20"/>
              </w:rPr>
              <w:t xml:space="preserve"> up’ or exceed prior attainment </w:t>
            </w:r>
            <w:r w:rsidR="008D1CDD">
              <w:rPr>
                <w:rFonts w:cs="Arial"/>
                <w:sz w:val="20"/>
                <w:szCs w:val="20"/>
              </w:rPr>
              <w:t>standards.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72C64" w14:textId="0694DA0C" w:rsidR="00C56483" w:rsidRDefault="006A0678" w:rsidP="00473792">
            <w:pPr>
              <w:pStyle w:val="TableRowCentered"/>
              <w:jc w:val="left"/>
              <w:rPr>
                <w:sz w:val="20"/>
              </w:rPr>
            </w:pPr>
            <w:r>
              <w:rPr>
                <w:sz w:val="20"/>
              </w:rPr>
              <w:t>End of summer 2024</w:t>
            </w:r>
            <w:r w:rsidR="00473792">
              <w:rPr>
                <w:sz w:val="20"/>
              </w:rPr>
              <w:t xml:space="preserve"> </w:t>
            </w:r>
            <w:r w:rsidR="00473792" w:rsidRPr="00473792">
              <w:rPr>
                <w:sz w:val="20"/>
              </w:rPr>
              <w:t>data will show</w:t>
            </w:r>
            <w:r w:rsidR="00473792">
              <w:rPr>
                <w:sz w:val="20"/>
              </w:rPr>
              <w:t xml:space="preserve"> that 95 – 100% of </w:t>
            </w:r>
            <w:r w:rsidR="00473792" w:rsidRPr="00473792">
              <w:rPr>
                <w:sz w:val="20"/>
              </w:rPr>
              <w:t>disadvantaged children</w:t>
            </w:r>
            <w:r w:rsidR="00473792">
              <w:rPr>
                <w:sz w:val="20"/>
              </w:rPr>
              <w:t xml:space="preserve"> </w:t>
            </w:r>
            <w:r w:rsidR="00473792" w:rsidRPr="00473792">
              <w:rPr>
                <w:sz w:val="20"/>
              </w:rPr>
              <w:t>have made expected progress from the</w:t>
            </w:r>
            <w:r w:rsidR="00473792">
              <w:rPr>
                <w:sz w:val="20"/>
              </w:rPr>
              <w:t xml:space="preserve"> previous summer. </w:t>
            </w:r>
          </w:p>
          <w:p w14:paraId="3A1C2F58" w14:textId="77777777" w:rsidR="00473792" w:rsidRDefault="00473792" w:rsidP="00473792">
            <w:pPr>
              <w:pStyle w:val="TableRowCentered"/>
              <w:jc w:val="left"/>
              <w:rPr>
                <w:sz w:val="20"/>
              </w:rPr>
            </w:pPr>
          </w:p>
          <w:p w14:paraId="2A7D5505" w14:textId="3B609267" w:rsidR="00473792" w:rsidRPr="00DE7707" w:rsidRDefault="00473792" w:rsidP="006A0678">
            <w:pPr>
              <w:pStyle w:val="TableRowCentered"/>
              <w:jc w:val="left"/>
              <w:rPr>
                <w:sz w:val="20"/>
              </w:rPr>
            </w:pPr>
          </w:p>
        </w:tc>
      </w:tr>
      <w:tr w:rsidR="00C56483" w14:paraId="2A7D550F" w14:textId="77777777" w:rsidTr="00473792">
        <w:tc>
          <w:tcPr>
            <w:tcW w:w="5524" w:type="dxa"/>
            <w:tcBorders>
              <w:top w:val="single" w:sz="4" w:space="0" w:color="000000"/>
              <w:left w:val="single" w:sz="4" w:space="0" w:color="000000"/>
              <w:bottom w:val="single" w:sz="4" w:space="0" w:color="000000"/>
              <w:right w:val="single" w:sz="4" w:space="0" w:color="000000"/>
            </w:tcBorders>
          </w:tcPr>
          <w:p w14:paraId="2A7D550D" w14:textId="03F4BFFF" w:rsidR="00C56483" w:rsidRPr="00DE7707" w:rsidRDefault="001C1681" w:rsidP="00062CE6">
            <w:pPr>
              <w:pStyle w:val="TableRow"/>
              <w:rPr>
                <w:sz w:val="20"/>
                <w:szCs w:val="20"/>
              </w:rPr>
            </w:pPr>
            <w:r>
              <w:rPr>
                <w:sz w:val="20"/>
                <w:szCs w:val="20"/>
              </w:rPr>
              <w:lastRenderedPageBreak/>
              <w:t>Disadvantaged pupils to achieve a Good Level of Development i</w:t>
            </w:r>
            <w:r w:rsidR="006A0678">
              <w:rPr>
                <w:sz w:val="20"/>
                <w:szCs w:val="20"/>
              </w:rPr>
              <w:t>n line with National Average (67% in 2023</w:t>
            </w:r>
            <w:r>
              <w:rPr>
                <w:sz w:val="20"/>
                <w:szCs w:val="20"/>
              </w:rPr>
              <w:t>)</w:t>
            </w:r>
            <w:r w:rsidR="00C33FC7">
              <w:rPr>
                <w:sz w:val="20"/>
                <w:szCs w:val="20"/>
              </w:rPr>
              <w: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75DF82F9" w:rsidR="00C56483" w:rsidRPr="00DE7707" w:rsidRDefault="006A0678" w:rsidP="00062CE6">
            <w:pPr>
              <w:pStyle w:val="TableRowCentered"/>
              <w:jc w:val="left"/>
              <w:rPr>
                <w:sz w:val="20"/>
              </w:rPr>
            </w:pPr>
            <w:r>
              <w:rPr>
                <w:sz w:val="20"/>
              </w:rPr>
              <w:t>Improve from 2023 level of 65% to be broadly in line with 67</w:t>
            </w:r>
            <w:r w:rsidR="001C1681">
              <w:rPr>
                <w:sz w:val="20"/>
              </w:rPr>
              <w:t xml:space="preserve">% at the end </w:t>
            </w:r>
            <w:r w:rsidR="001053FA">
              <w:rPr>
                <w:sz w:val="20"/>
              </w:rPr>
              <w:t>o</w:t>
            </w:r>
            <w:r>
              <w:rPr>
                <w:sz w:val="20"/>
              </w:rPr>
              <w:t>f the 2023-2024</w:t>
            </w:r>
            <w:r w:rsidR="001C1681">
              <w:rPr>
                <w:sz w:val="20"/>
              </w:rPr>
              <w:t xml:space="preserve"> academic year. </w:t>
            </w:r>
          </w:p>
        </w:tc>
      </w:tr>
      <w:tr w:rsidR="001C1681" w14:paraId="2D02B28E" w14:textId="77777777" w:rsidTr="00473792">
        <w:tc>
          <w:tcPr>
            <w:tcW w:w="5524" w:type="dxa"/>
            <w:tcBorders>
              <w:top w:val="single" w:sz="4" w:space="0" w:color="000000"/>
              <w:left w:val="single" w:sz="4" w:space="0" w:color="000000"/>
              <w:bottom w:val="single" w:sz="4" w:space="0" w:color="000000"/>
              <w:right w:val="single" w:sz="4" w:space="0" w:color="000000"/>
            </w:tcBorders>
          </w:tcPr>
          <w:p w14:paraId="50543572" w14:textId="10D9DE7D" w:rsidR="001C1681" w:rsidRPr="00473792" w:rsidRDefault="001C1681" w:rsidP="006A0678">
            <w:pPr>
              <w:pStyle w:val="TableRow"/>
              <w:rPr>
                <w:rFonts w:cs="Arial"/>
                <w:sz w:val="20"/>
                <w:szCs w:val="20"/>
              </w:rPr>
            </w:pPr>
            <w:r>
              <w:rPr>
                <w:rFonts w:cs="Arial"/>
                <w:sz w:val="20"/>
                <w:szCs w:val="20"/>
              </w:rPr>
              <w:t>Disadvantaged pupils achieve across</w:t>
            </w:r>
            <w:r w:rsidR="006A0678">
              <w:rPr>
                <w:rFonts w:cs="Arial"/>
                <w:sz w:val="20"/>
                <w:szCs w:val="20"/>
              </w:rPr>
              <w:t xml:space="preserve"> reading, writing and maths</w:t>
            </w:r>
            <w:r w:rsidR="00C33FC7">
              <w:rPr>
                <w:rFonts w:cs="Arial"/>
                <w:sz w:val="20"/>
                <w:szCs w:val="20"/>
              </w:rPr>
              <w:t xml:space="preserve"> at the end of KS2</w:t>
            </w:r>
            <w:r w:rsidR="006A0678">
              <w:rPr>
                <w:rFonts w:cs="Arial"/>
                <w:sz w:val="20"/>
                <w:szCs w:val="20"/>
              </w:rPr>
              <w:t xml:space="preserve">. </w:t>
            </w:r>
            <w:r>
              <w:rPr>
                <w:rFonts w:cs="Arial"/>
                <w:sz w:val="20"/>
                <w:szCs w:val="20"/>
              </w:rPr>
              <w:t xml:space="preserve">Case studies and close monitoring of this group across the year </w:t>
            </w:r>
            <w:r w:rsidR="001053FA">
              <w:rPr>
                <w:rFonts w:cs="Arial"/>
                <w:sz w:val="20"/>
                <w:szCs w:val="20"/>
              </w:rPr>
              <w:t>will be us</w:t>
            </w:r>
            <w:r>
              <w:rPr>
                <w:rFonts w:cs="Arial"/>
                <w:sz w:val="20"/>
                <w:szCs w:val="20"/>
              </w:rPr>
              <w:t xml:space="preserve">ed to identify areas of need and support.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7E25E" w14:textId="522E80C2" w:rsidR="001C1681" w:rsidRDefault="00C33FC7" w:rsidP="00473792">
            <w:pPr>
              <w:pStyle w:val="TableRowCentered"/>
              <w:jc w:val="left"/>
              <w:rPr>
                <w:rFonts w:cs="Arial"/>
                <w:sz w:val="20"/>
              </w:rPr>
            </w:pPr>
            <w:r>
              <w:rPr>
                <w:rFonts w:cs="Arial"/>
                <w:sz w:val="20"/>
              </w:rPr>
              <w:t>End of year outcomes show that the gap between PPQ and non-PQ children achieving the expected standard in R,W and M decreases from 2023 data:</w:t>
            </w:r>
          </w:p>
          <w:p w14:paraId="24ED0DA9" w14:textId="1C63FDA1" w:rsidR="00C33FC7" w:rsidRDefault="00C33FC7" w:rsidP="00473792">
            <w:pPr>
              <w:pStyle w:val="TableRowCentered"/>
              <w:jc w:val="left"/>
              <w:rPr>
                <w:rFonts w:cs="Arial"/>
                <w:sz w:val="20"/>
              </w:rPr>
            </w:pPr>
            <w:r>
              <w:rPr>
                <w:rFonts w:cs="Arial"/>
                <w:sz w:val="20"/>
              </w:rPr>
              <w:t>PPQ – 55.9%</w:t>
            </w:r>
          </w:p>
          <w:p w14:paraId="49932517" w14:textId="7E89BC59" w:rsidR="00C33FC7" w:rsidRPr="00473792" w:rsidRDefault="00C33FC7" w:rsidP="00473792">
            <w:pPr>
              <w:pStyle w:val="TableRowCentered"/>
              <w:jc w:val="left"/>
              <w:rPr>
                <w:rFonts w:cs="Arial"/>
                <w:sz w:val="20"/>
              </w:rPr>
            </w:pPr>
            <w:r>
              <w:rPr>
                <w:rFonts w:cs="Arial"/>
                <w:sz w:val="20"/>
              </w:rPr>
              <w:t>Non-PPQ – 60%</w:t>
            </w:r>
          </w:p>
        </w:tc>
      </w:tr>
      <w:tr w:rsidR="00473792" w14:paraId="34C3BBE5" w14:textId="77777777" w:rsidTr="00473792">
        <w:tc>
          <w:tcPr>
            <w:tcW w:w="5524" w:type="dxa"/>
            <w:tcBorders>
              <w:top w:val="single" w:sz="4" w:space="0" w:color="000000"/>
              <w:left w:val="single" w:sz="4" w:space="0" w:color="000000"/>
              <w:bottom w:val="single" w:sz="4" w:space="0" w:color="000000"/>
              <w:right w:val="single" w:sz="4" w:space="0" w:color="000000"/>
            </w:tcBorders>
          </w:tcPr>
          <w:p w14:paraId="38845596" w14:textId="0101B658" w:rsidR="00473792" w:rsidRPr="00DE7707" w:rsidRDefault="00473792" w:rsidP="00107778">
            <w:pPr>
              <w:pStyle w:val="TableRow"/>
              <w:rPr>
                <w:rFonts w:cs="Arial"/>
                <w:sz w:val="20"/>
                <w:szCs w:val="20"/>
              </w:rPr>
            </w:pPr>
            <w:r w:rsidRPr="00473792">
              <w:rPr>
                <w:rFonts w:cs="Arial"/>
                <w:sz w:val="20"/>
                <w:szCs w:val="20"/>
              </w:rPr>
              <w:t>Pupils have a breadth of experiences that</w:t>
            </w:r>
            <w:r>
              <w:rPr>
                <w:rFonts w:cs="Arial"/>
                <w:sz w:val="20"/>
                <w:szCs w:val="20"/>
              </w:rPr>
              <w:t xml:space="preserve"> </w:t>
            </w:r>
            <w:r w:rsidRPr="00473792">
              <w:rPr>
                <w:rFonts w:cs="Arial"/>
                <w:sz w:val="20"/>
                <w:szCs w:val="20"/>
              </w:rPr>
              <w:t>enable them to contextualize their learning.</w:t>
            </w:r>
            <w:r w:rsidR="00107778">
              <w:rPr>
                <w:rFonts w:cs="Arial"/>
                <w:sz w:val="20"/>
                <w:szCs w:val="20"/>
              </w:rPr>
              <w:t xml:space="preserve"> </w:t>
            </w:r>
            <w:r w:rsidRPr="00473792">
              <w:rPr>
                <w:rFonts w:cs="Arial"/>
                <w:sz w:val="20"/>
                <w:szCs w:val="20"/>
              </w:rPr>
              <w:t>School will</w:t>
            </w:r>
            <w:r w:rsidR="00107778">
              <w:rPr>
                <w:rFonts w:cs="Arial"/>
                <w:sz w:val="20"/>
                <w:szCs w:val="20"/>
              </w:rPr>
              <w:t xml:space="preserve"> deliver an engaging, broad and </w:t>
            </w:r>
            <w:r w:rsidRPr="00473792">
              <w:rPr>
                <w:rFonts w:cs="Arial"/>
                <w:sz w:val="20"/>
                <w:szCs w:val="20"/>
              </w:rPr>
              <w:t>varied curriculum.</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F8C69" w14:textId="5A658E22" w:rsidR="0064316A" w:rsidRDefault="00473792" w:rsidP="00473792">
            <w:pPr>
              <w:pStyle w:val="TableRowCentered"/>
              <w:jc w:val="left"/>
              <w:rPr>
                <w:rFonts w:cs="Arial"/>
                <w:sz w:val="20"/>
              </w:rPr>
            </w:pPr>
            <w:r w:rsidRPr="00473792">
              <w:rPr>
                <w:rFonts w:cs="Arial"/>
                <w:sz w:val="20"/>
              </w:rPr>
              <w:t>Teachers and support staff will plan a wide</w:t>
            </w:r>
            <w:r>
              <w:rPr>
                <w:rFonts w:cs="Arial"/>
                <w:sz w:val="20"/>
              </w:rPr>
              <w:t xml:space="preserve"> </w:t>
            </w:r>
            <w:r w:rsidRPr="00473792">
              <w:rPr>
                <w:rFonts w:cs="Arial"/>
                <w:sz w:val="20"/>
              </w:rPr>
              <w:t>range of v</w:t>
            </w:r>
            <w:r w:rsidR="0064316A">
              <w:rPr>
                <w:rFonts w:cs="Arial"/>
                <w:sz w:val="20"/>
              </w:rPr>
              <w:t>isits/memorable</w:t>
            </w:r>
            <w:r>
              <w:rPr>
                <w:rFonts w:cs="Arial"/>
                <w:sz w:val="20"/>
              </w:rPr>
              <w:t xml:space="preserve"> events/experiences to </w:t>
            </w:r>
            <w:r w:rsidRPr="00473792">
              <w:rPr>
                <w:rFonts w:cs="Arial"/>
                <w:sz w:val="20"/>
              </w:rPr>
              <w:t xml:space="preserve">inspire/enhance learning and make it memorable. </w:t>
            </w:r>
          </w:p>
          <w:p w14:paraId="47D440B8" w14:textId="6CF22AF1" w:rsidR="00473792" w:rsidRPr="00DE7707" w:rsidRDefault="00473792" w:rsidP="00473792">
            <w:pPr>
              <w:pStyle w:val="TableRowCentered"/>
              <w:jc w:val="left"/>
              <w:rPr>
                <w:rFonts w:cs="Arial"/>
                <w:sz w:val="20"/>
              </w:rPr>
            </w:pPr>
            <w:r w:rsidRPr="00473792">
              <w:rPr>
                <w:rFonts w:cs="Arial"/>
                <w:sz w:val="20"/>
              </w:rPr>
              <w:t>Each year group will spend al</w:t>
            </w:r>
            <w:r w:rsidR="0064316A">
              <w:rPr>
                <w:rFonts w:cs="Arial"/>
                <w:sz w:val="20"/>
              </w:rPr>
              <w:t xml:space="preserve">located funding on providing memorable experience </w:t>
            </w:r>
            <w:r w:rsidRPr="00473792">
              <w:rPr>
                <w:rFonts w:cs="Arial"/>
                <w:sz w:val="20"/>
              </w:rPr>
              <w:t xml:space="preserve"> days and events which</w:t>
            </w:r>
            <w:r>
              <w:rPr>
                <w:rFonts w:cs="Arial"/>
                <w:sz w:val="20"/>
              </w:rPr>
              <w:t xml:space="preserve"> </w:t>
            </w:r>
            <w:r w:rsidRPr="00473792">
              <w:rPr>
                <w:rFonts w:cs="Arial"/>
                <w:sz w:val="20"/>
              </w:rPr>
              <w:t>excite and enthuse children to learn across all</w:t>
            </w:r>
            <w:r>
              <w:rPr>
                <w:rFonts w:cs="Arial"/>
                <w:sz w:val="20"/>
              </w:rPr>
              <w:t xml:space="preserve"> </w:t>
            </w:r>
            <w:r w:rsidRPr="00473792">
              <w:rPr>
                <w:rFonts w:cs="Arial"/>
                <w:sz w:val="20"/>
              </w:rPr>
              <w:t>subjects</w:t>
            </w:r>
            <w:r w:rsidR="00C33FC7">
              <w:rPr>
                <w:rFonts w:cs="Arial"/>
                <w:sz w:val="20"/>
              </w:rPr>
              <w:t>. This is incudes the 4 night residential trip offered to all Y6 pupils. The expectation from the leadership of the school is that each class experiences at least 1 educational visit each term.</w:t>
            </w:r>
          </w:p>
        </w:tc>
      </w:tr>
    </w:tbl>
    <w:p w14:paraId="2A7D5512" w14:textId="657C019D" w:rsidR="00E66558" w:rsidRDefault="00120AB1" w:rsidP="00DA4BF1">
      <w:pPr>
        <w:suppressAutoHyphens w:val="0"/>
        <w:spacing w:after="0" w:line="240" w:lineRule="auto"/>
      </w:pPr>
      <w:r>
        <w:br w:type="page"/>
      </w:r>
      <w:r w:rsidR="009D71E8">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C814B3D" w:rsidR="00E66558" w:rsidRDefault="009D71E8">
      <w:r>
        <w:t xml:space="preserve">Budgeted cost: £ </w:t>
      </w:r>
      <w:r w:rsidR="00CA468F">
        <w:t>89,661</w:t>
      </w:r>
    </w:p>
    <w:tbl>
      <w:tblPr>
        <w:tblW w:w="5000" w:type="pct"/>
        <w:tblCellMar>
          <w:left w:w="10" w:type="dxa"/>
          <w:right w:w="10" w:type="dxa"/>
        </w:tblCellMar>
        <w:tblLook w:val="04A0" w:firstRow="1" w:lastRow="0" w:firstColumn="1" w:lastColumn="0" w:noHBand="0" w:noVBand="1"/>
      </w:tblPr>
      <w:tblGrid>
        <w:gridCol w:w="1796"/>
        <w:gridCol w:w="5899"/>
        <w:gridCol w:w="1791"/>
      </w:tblGrid>
      <w:tr w:rsidR="00DE76A5"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DE76A5"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82330" w14:textId="77777777" w:rsidR="00062CE6" w:rsidRDefault="00062CE6" w:rsidP="00062CE6">
            <w:pPr>
              <w:pStyle w:val="TableRow"/>
              <w:rPr>
                <w:rFonts w:cs="Arial"/>
                <w:sz w:val="20"/>
                <w:szCs w:val="20"/>
              </w:rPr>
            </w:pPr>
            <w:r w:rsidRPr="00C21594">
              <w:rPr>
                <w:rFonts w:cs="Arial"/>
                <w:sz w:val="20"/>
                <w:szCs w:val="20"/>
              </w:rPr>
              <w:t xml:space="preserve">Phase Leaders without class responsibility </w:t>
            </w:r>
          </w:p>
          <w:p w14:paraId="2A7D551A" w14:textId="6174B137" w:rsidR="005456B5" w:rsidRDefault="002A1993" w:rsidP="00247BEE">
            <w:pPr>
              <w:pStyle w:val="TableRow"/>
            </w:pPr>
            <w:r>
              <w:rPr>
                <w:rFonts w:cs="Arial"/>
                <w:sz w:val="20"/>
                <w:szCs w:val="20"/>
              </w:rPr>
              <w:t>£</w:t>
            </w:r>
            <w:r w:rsidR="00247BEE">
              <w:rPr>
                <w:rFonts w:cs="Arial"/>
                <w:sz w:val="20"/>
                <w:szCs w:val="20"/>
              </w:rPr>
              <w:t>60,645</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D093E" w14:textId="77777777" w:rsidR="00247BEE" w:rsidRDefault="00062CE6" w:rsidP="00062CE6">
            <w:pPr>
              <w:rPr>
                <w:rFonts w:cs="Arial"/>
                <w:sz w:val="20"/>
                <w:szCs w:val="20"/>
              </w:rPr>
            </w:pPr>
            <w:r>
              <w:rPr>
                <w:rFonts w:cs="Arial"/>
                <w:sz w:val="20"/>
                <w:szCs w:val="20"/>
              </w:rPr>
              <w:t>Quality teaching helps every child. Experienced teachers in each Key Stage to help a</w:t>
            </w:r>
            <w:r w:rsidRPr="00C21594">
              <w:rPr>
                <w:rFonts w:cs="Arial"/>
                <w:sz w:val="20"/>
                <w:szCs w:val="20"/>
              </w:rPr>
              <w:t>ccelerate progress/diminish the difference between pupil premium children and others in reading/Writing and Maths</w:t>
            </w:r>
            <w:r>
              <w:rPr>
                <w:rFonts w:cs="Arial"/>
                <w:sz w:val="20"/>
                <w:szCs w:val="20"/>
              </w:rPr>
              <w:t xml:space="preserve"> by modelling lessons and supporting colleagues with planning and strategies to ensure PPQ children achieve above average progress</w:t>
            </w:r>
            <w:r w:rsidR="00DE76A5">
              <w:rPr>
                <w:rFonts w:cs="Arial"/>
                <w:sz w:val="20"/>
                <w:szCs w:val="20"/>
              </w:rPr>
              <w:t>.</w:t>
            </w:r>
          </w:p>
          <w:p w14:paraId="516911C9" w14:textId="4FBCE3C8" w:rsidR="00DE76A5" w:rsidRDefault="00DE76A5" w:rsidP="00062CE6">
            <w:pPr>
              <w:rPr>
                <w:rFonts w:cs="Arial"/>
                <w:sz w:val="20"/>
                <w:szCs w:val="20"/>
              </w:rPr>
            </w:pPr>
            <w:r>
              <w:rPr>
                <w:rFonts w:cs="Arial"/>
                <w:sz w:val="20"/>
                <w:szCs w:val="20"/>
              </w:rPr>
              <w:t>Mastery approaches to reading (school’s own bespoke scheme developed over the last 5 years), writing (</w:t>
            </w:r>
            <w:r w:rsidR="00247BEE">
              <w:rPr>
                <w:rFonts w:cs="Arial"/>
                <w:sz w:val="20"/>
                <w:szCs w:val="20"/>
              </w:rPr>
              <w:t xml:space="preserve">evolved version of </w:t>
            </w:r>
            <w:r>
              <w:rPr>
                <w:rFonts w:cs="Arial"/>
                <w:sz w:val="20"/>
                <w:szCs w:val="20"/>
              </w:rPr>
              <w:t xml:space="preserve">The Write Stuff developed by Jane </w:t>
            </w:r>
            <w:proofErr w:type="spellStart"/>
            <w:r>
              <w:rPr>
                <w:rFonts w:cs="Arial"/>
                <w:sz w:val="20"/>
                <w:szCs w:val="20"/>
              </w:rPr>
              <w:t>Considine</w:t>
            </w:r>
            <w:proofErr w:type="spellEnd"/>
            <w:r>
              <w:rPr>
                <w:rFonts w:cs="Arial"/>
                <w:sz w:val="20"/>
                <w:szCs w:val="20"/>
              </w:rPr>
              <w:t>) and maths (</w:t>
            </w:r>
            <w:r w:rsidR="00247BEE">
              <w:rPr>
                <w:rFonts w:cs="Arial"/>
                <w:sz w:val="20"/>
                <w:szCs w:val="20"/>
              </w:rPr>
              <w:t xml:space="preserve">White Rose </w:t>
            </w:r>
            <w:r>
              <w:rPr>
                <w:rFonts w:cs="Arial"/>
                <w:sz w:val="20"/>
                <w:szCs w:val="20"/>
              </w:rPr>
              <w:t>Power Maths) will support Quality First Teaching in these areas of the curriculum.</w:t>
            </w:r>
            <w:r w:rsidR="0092517F">
              <w:rPr>
                <w:rFonts w:cs="Arial"/>
                <w:sz w:val="20"/>
                <w:szCs w:val="20"/>
              </w:rPr>
              <w:t xml:space="preserve"> Each of these schemes places a high level of focus and explanation on modelling from the class teacher </w:t>
            </w:r>
            <w:r w:rsidR="0052414B">
              <w:rPr>
                <w:rFonts w:cs="Arial"/>
                <w:sz w:val="20"/>
                <w:szCs w:val="20"/>
              </w:rPr>
              <w:t>and their thought process</w:t>
            </w:r>
            <w:r w:rsidR="0092517F">
              <w:rPr>
                <w:rFonts w:cs="Arial"/>
                <w:sz w:val="20"/>
                <w:szCs w:val="20"/>
              </w:rPr>
              <w:t>.</w:t>
            </w:r>
            <w:r>
              <w:rPr>
                <w:rFonts w:cs="Arial"/>
                <w:sz w:val="20"/>
                <w:szCs w:val="20"/>
              </w:rPr>
              <w:t xml:space="preserve"> High quality, frequent feedback </w:t>
            </w:r>
            <w:r w:rsidR="0092517F">
              <w:rPr>
                <w:rFonts w:cs="Arial"/>
                <w:sz w:val="20"/>
                <w:szCs w:val="20"/>
              </w:rPr>
              <w:t xml:space="preserve">is </w:t>
            </w:r>
            <w:r>
              <w:rPr>
                <w:rFonts w:cs="Arial"/>
                <w:sz w:val="20"/>
                <w:szCs w:val="20"/>
              </w:rPr>
              <w:t xml:space="preserve">a key element of this. </w:t>
            </w:r>
          </w:p>
          <w:p w14:paraId="1C7B3E55" w14:textId="20214439" w:rsidR="00C34632" w:rsidRDefault="00C34632" w:rsidP="00062CE6">
            <w:pPr>
              <w:rPr>
                <w:rFonts w:cs="Arial"/>
                <w:sz w:val="20"/>
                <w:szCs w:val="20"/>
              </w:rPr>
            </w:pPr>
            <w:r>
              <w:rPr>
                <w:rFonts w:cs="Arial"/>
                <w:sz w:val="20"/>
                <w:szCs w:val="20"/>
              </w:rPr>
              <w:t>Evidence:</w:t>
            </w:r>
          </w:p>
          <w:p w14:paraId="784E30C4" w14:textId="18C55A88" w:rsidR="00DE76A5" w:rsidRDefault="00DE76A5" w:rsidP="00062CE6">
            <w:pPr>
              <w:rPr>
                <w:rFonts w:cs="Arial"/>
                <w:sz w:val="20"/>
                <w:szCs w:val="20"/>
              </w:rPr>
            </w:pPr>
            <w:r>
              <w:rPr>
                <w:noProof/>
              </w:rPr>
              <w:drawing>
                <wp:inline distT="0" distB="0" distL="0" distR="0" wp14:anchorId="140E83B9" wp14:editId="58F87585">
                  <wp:extent cx="3595254" cy="438427"/>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32212" cy="442934"/>
                          </a:xfrm>
                          <a:prstGeom prst="rect">
                            <a:avLst/>
                          </a:prstGeom>
                        </pic:spPr>
                      </pic:pic>
                    </a:graphicData>
                  </a:graphic>
                </wp:inline>
              </w:drawing>
            </w:r>
          </w:p>
          <w:p w14:paraId="662EE407" w14:textId="236A7FFE" w:rsidR="000A3104" w:rsidRDefault="000A3104" w:rsidP="00062CE6">
            <w:pPr>
              <w:rPr>
                <w:rFonts w:cs="Arial"/>
                <w:sz w:val="20"/>
                <w:szCs w:val="20"/>
              </w:rPr>
            </w:pPr>
            <w:r w:rsidRPr="000A3104">
              <w:rPr>
                <w:rFonts w:cs="Arial"/>
                <w:sz w:val="20"/>
                <w:szCs w:val="20"/>
              </w:rPr>
              <w:t>There is some evidence to suggest that disadvantaged pupils are less likely to use metacognitive and self-regulatory strategies without being explicitly taught these strategies. Explicit teaching of metacognitive and self-regulatory strategies could therefore encourage such pupils to practise and use these skills more frequently in the future. With explicit teaching and feedback, pupils are more likely to use these strategies independently and habitually, enabling them to manage their own learning and overcome challenges themselves in the future.</w:t>
            </w:r>
          </w:p>
          <w:p w14:paraId="0FC1D313" w14:textId="22F18393" w:rsidR="00DE76A5" w:rsidRDefault="00DE76A5" w:rsidP="00062CE6">
            <w:pPr>
              <w:rPr>
                <w:rFonts w:cs="Arial"/>
                <w:sz w:val="20"/>
                <w:szCs w:val="20"/>
              </w:rPr>
            </w:pPr>
            <w:r>
              <w:rPr>
                <w:noProof/>
              </w:rPr>
              <w:drawing>
                <wp:inline distT="0" distB="0" distL="0" distR="0" wp14:anchorId="348AAE1B" wp14:editId="5B9A1F5E">
                  <wp:extent cx="3553691" cy="29077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78182" cy="317328"/>
                          </a:xfrm>
                          <a:prstGeom prst="rect">
                            <a:avLst/>
                          </a:prstGeom>
                        </pic:spPr>
                      </pic:pic>
                    </a:graphicData>
                  </a:graphic>
                </wp:inline>
              </w:drawing>
            </w:r>
          </w:p>
          <w:p w14:paraId="68F96857" w14:textId="77777777" w:rsidR="000A3104" w:rsidRPr="000A3104" w:rsidRDefault="000A3104" w:rsidP="000A3104">
            <w:pPr>
              <w:numPr>
                <w:ilvl w:val="0"/>
                <w:numId w:val="1"/>
              </w:numPr>
              <w:rPr>
                <w:rFonts w:cs="Arial"/>
                <w:sz w:val="20"/>
                <w:szCs w:val="20"/>
              </w:rPr>
            </w:pPr>
            <w:r w:rsidRPr="000A3104">
              <w:rPr>
                <w:rFonts w:cs="Arial"/>
                <w:sz w:val="20"/>
                <w:szCs w:val="20"/>
              </w:rPr>
              <w:t>Mastery learning approaches aim to ensure that all pupils have mastered key concepts before moving on to the next topic – in contrast with traditional teaching methods in which pupils may be left behind, with gaps of misunderstanding widening. Mastery learning approaches could address these challenges by giving additional time and support to pupils who may have missed learning, or take longer to master new knowledge and skills.</w:t>
            </w:r>
          </w:p>
          <w:p w14:paraId="4324C9CA" w14:textId="0BE34E49" w:rsidR="000A3104" w:rsidRPr="000A3104" w:rsidRDefault="000A3104" w:rsidP="000A3104">
            <w:pPr>
              <w:numPr>
                <w:ilvl w:val="0"/>
                <w:numId w:val="1"/>
              </w:numPr>
              <w:rPr>
                <w:rFonts w:cs="Arial"/>
                <w:sz w:val="20"/>
                <w:szCs w:val="20"/>
              </w:rPr>
            </w:pPr>
            <w:r w:rsidRPr="000A3104">
              <w:rPr>
                <w:rFonts w:cs="Arial"/>
                <w:sz w:val="20"/>
                <w:szCs w:val="20"/>
              </w:rPr>
              <w:t>In order for mastery approaches to be effective for pupils with gaps in understanding, it is crucial that additional support is provided. Approaches that simply build upon foundational knowledge without targeting support for pupils that fall behind are unlikely to narrow disadvantage gaps.</w:t>
            </w:r>
            <w:r>
              <w:rPr>
                <w:rFonts w:cs="Arial"/>
                <w:sz w:val="20"/>
                <w:szCs w:val="20"/>
              </w:rPr>
              <w:t xml:space="preserve"> The school us</w:t>
            </w:r>
            <w:r w:rsidR="00247BEE">
              <w:rPr>
                <w:rFonts w:cs="Arial"/>
                <w:sz w:val="20"/>
                <w:szCs w:val="20"/>
              </w:rPr>
              <w:t>e</w:t>
            </w:r>
            <w:r w:rsidR="00A238F9">
              <w:rPr>
                <w:rFonts w:cs="Arial"/>
                <w:sz w:val="20"/>
                <w:szCs w:val="20"/>
              </w:rPr>
              <w:t>s daily interventions led by Learning Support Assistants (LSAs)</w:t>
            </w:r>
            <w:r>
              <w:rPr>
                <w:rFonts w:cs="Arial"/>
                <w:sz w:val="20"/>
                <w:szCs w:val="20"/>
              </w:rPr>
              <w:t xml:space="preserve">s to support the mastery approach for PPQ pupils, these being same </w:t>
            </w:r>
            <w:r w:rsidR="00E45E7C">
              <w:rPr>
                <w:rFonts w:cs="Arial"/>
                <w:sz w:val="20"/>
                <w:szCs w:val="20"/>
              </w:rPr>
              <w:t>day interventions for maths and Read Write Inc.</w:t>
            </w:r>
          </w:p>
          <w:p w14:paraId="67378299" w14:textId="66356B83" w:rsidR="00DE76A5" w:rsidRDefault="00DE76A5" w:rsidP="00062CE6">
            <w:pPr>
              <w:rPr>
                <w:rFonts w:cs="Arial"/>
                <w:sz w:val="20"/>
                <w:szCs w:val="20"/>
              </w:rPr>
            </w:pPr>
            <w:r>
              <w:rPr>
                <w:noProof/>
              </w:rPr>
              <w:drawing>
                <wp:inline distT="0" distB="0" distL="0" distR="0" wp14:anchorId="735BC30F" wp14:editId="365F0ADB">
                  <wp:extent cx="3574472" cy="338777"/>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27873" cy="353316"/>
                          </a:xfrm>
                          <a:prstGeom prst="rect">
                            <a:avLst/>
                          </a:prstGeom>
                        </pic:spPr>
                      </pic:pic>
                    </a:graphicData>
                  </a:graphic>
                </wp:inline>
              </w:drawing>
            </w:r>
          </w:p>
          <w:p w14:paraId="2A6A6705" w14:textId="285DDCAE" w:rsidR="000A3104" w:rsidRDefault="000A3104" w:rsidP="00062CE6">
            <w:pPr>
              <w:rPr>
                <w:rFonts w:cs="Arial"/>
                <w:sz w:val="20"/>
                <w:szCs w:val="20"/>
              </w:rPr>
            </w:pPr>
            <w:r w:rsidRPr="000A3104">
              <w:rPr>
                <w:rFonts w:cs="Arial"/>
                <w:sz w:val="20"/>
                <w:szCs w:val="20"/>
              </w:rPr>
              <w:t>Pupils require clear and actionable feedback to employ metacognitive strategies as they learn, as this information informs their understanding of their specific strengths and areas for improvement, thereby indicating which learning strategies have been effective for them in previously completed work.</w:t>
            </w:r>
            <w:r>
              <w:rPr>
                <w:rFonts w:cs="Arial"/>
                <w:sz w:val="20"/>
                <w:szCs w:val="20"/>
              </w:rPr>
              <w:t xml:space="preserve"> The school’s feedback and marking approach places a heavy emphasis on immediate, structured feedback.</w:t>
            </w:r>
          </w:p>
          <w:p w14:paraId="6C80573F" w14:textId="0E746219" w:rsidR="00DE76A5" w:rsidRDefault="00DE76A5" w:rsidP="00062CE6">
            <w:pPr>
              <w:rPr>
                <w:rFonts w:cs="Arial"/>
                <w:sz w:val="20"/>
                <w:szCs w:val="20"/>
              </w:rPr>
            </w:pPr>
            <w:r>
              <w:rPr>
                <w:noProof/>
              </w:rPr>
              <w:drawing>
                <wp:inline distT="0" distB="0" distL="0" distR="0" wp14:anchorId="52392E47" wp14:editId="48184078">
                  <wp:extent cx="3609109" cy="434036"/>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05240" cy="445597"/>
                          </a:xfrm>
                          <a:prstGeom prst="rect">
                            <a:avLst/>
                          </a:prstGeom>
                        </pic:spPr>
                      </pic:pic>
                    </a:graphicData>
                  </a:graphic>
                </wp:inline>
              </w:drawing>
            </w:r>
          </w:p>
          <w:p w14:paraId="21E4116E" w14:textId="7E303D9C" w:rsidR="000A3104" w:rsidRPr="00C21594" w:rsidRDefault="000A3104" w:rsidP="00062CE6">
            <w:pPr>
              <w:rPr>
                <w:rFonts w:cs="Arial"/>
                <w:sz w:val="20"/>
                <w:szCs w:val="20"/>
              </w:rPr>
            </w:pPr>
            <w:r w:rsidRPr="000A3104">
              <w:rPr>
                <w:rFonts w:cs="Arial"/>
                <w:sz w:val="20"/>
                <w:szCs w:val="20"/>
              </w:rPr>
              <w:t>Reading comprehensions strategies involve the teaching of explicit approaches and techniques a pupil can use to improve their comprehension of written text. Many learners will develop these approaches without teacher guidance, adopting the strategies through trial and error as they look to better understand texts that challenge them.</w:t>
            </w:r>
            <w:r>
              <w:rPr>
                <w:rFonts w:cs="Arial"/>
                <w:sz w:val="20"/>
                <w:szCs w:val="20"/>
              </w:rPr>
              <w:t xml:space="preserve"> The school has achieved the One Education Gold Reading Award, in part due to its commitment to ensuring that pupils from all social backgrounds have regular access to high-quality texts both in school and to take home.</w:t>
            </w:r>
          </w:p>
          <w:p w14:paraId="2A7D551B" w14:textId="77777777" w:rsidR="00062CE6" w:rsidRDefault="00062CE6" w:rsidP="00062CE6">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7B82B3D" w:rsidR="00062CE6" w:rsidRDefault="00062CE6" w:rsidP="00062CE6">
            <w:pPr>
              <w:pStyle w:val="TableRowCentered"/>
              <w:jc w:val="left"/>
              <w:rPr>
                <w:sz w:val="22"/>
              </w:rPr>
            </w:pPr>
            <w:r>
              <w:rPr>
                <w:rFonts w:cs="Arial"/>
                <w:sz w:val="20"/>
              </w:rPr>
              <w:t>1,2,3,4</w:t>
            </w:r>
            <w:r w:rsidR="007A1849">
              <w:rPr>
                <w:rFonts w:cs="Arial"/>
                <w:sz w:val="20"/>
              </w:rPr>
              <w:t>,</w:t>
            </w:r>
          </w:p>
        </w:tc>
      </w:tr>
      <w:tr w:rsidR="00DE76A5" w14:paraId="0EF41890" w14:textId="77777777" w:rsidTr="00520CE3">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A8778" w14:textId="1197543A" w:rsidR="00DE76A5" w:rsidRDefault="00247BEE" w:rsidP="00F97BA1">
            <w:pPr>
              <w:pStyle w:val="TableRow"/>
              <w:rPr>
                <w:rFonts w:cs="Arial"/>
                <w:sz w:val="20"/>
                <w:szCs w:val="20"/>
              </w:rPr>
            </w:pPr>
            <w:r>
              <w:rPr>
                <w:rFonts w:cs="Arial"/>
                <w:sz w:val="20"/>
                <w:szCs w:val="20"/>
              </w:rPr>
              <w:t xml:space="preserve">LSA 3 </w:t>
            </w:r>
            <w:r w:rsidR="00C34632">
              <w:rPr>
                <w:rFonts w:cs="Arial"/>
                <w:sz w:val="20"/>
                <w:szCs w:val="20"/>
              </w:rPr>
              <w:t xml:space="preserve">x 6 </w:t>
            </w:r>
            <w:r>
              <w:rPr>
                <w:rFonts w:cs="Arial"/>
                <w:sz w:val="20"/>
                <w:szCs w:val="20"/>
              </w:rPr>
              <w:t>Subject Coordinator Cover</w:t>
            </w:r>
            <w:r w:rsidR="00C34632">
              <w:rPr>
                <w:rFonts w:cs="Arial"/>
                <w:sz w:val="20"/>
                <w:szCs w:val="20"/>
              </w:rPr>
              <w:t xml:space="preserve"> 1 day per week</w:t>
            </w:r>
          </w:p>
          <w:p w14:paraId="38515190" w14:textId="49BBBA0B" w:rsidR="00520CE3" w:rsidRPr="00520CE3" w:rsidRDefault="00580BC4" w:rsidP="00C34632">
            <w:pPr>
              <w:pStyle w:val="TableRow"/>
              <w:rPr>
                <w:rFonts w:cs="Arial"/>
                <w:sz w:val="20"/>
                <w:szCs w:val="20"/>
              </w:rPr>
            </w:pPr>
            <w:r>
              <w:rPr>
                <w:rFonts w:cs="Arial"/>
                <w:sz w:val="20"/>
                <w:szCs w:val="20"/>
              </w:rPr>
              <w:t>£</w:t>
            </w:r>
            <w:r w:rsidR="00C34632">
              <w:rPr>
                <w:rFonts w:cs="Arial"/>
                <w:sz w:val="20"/>
                <w:szCs w:val="20"/>
              </w:rPr>
              <w:t>29,016</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4948A" w14:textId="01E660B9" w:rsidR="00520CE3" w:rsidRDefault="00520CE3" w:rsidP="00F97BA1">
            <w:pPr>
              <w:rPr>
                <w:rFonts w:cs="Arial"/>
                <w:sz w:val="20"/>
                <w:szCs w:val="20"/>
              </w:rPr>
            </w:pPr>
            <w:r>
              <w:rPr>
                <w:rFonts w:cs="Arial"/>
                <w:sz w:val="20"/>
                <w:szCs w:val="20"/>
              </w:rPr>
              <w:t xml:space="preserve">The school has employed </w:t>
            </w:r>
            <w:r w:rsidR="00247BEE">
              <w:rPr>
                <w:rFonts w:cs="Arial"/>
                <w:sz w:val="20"/>
                <w:szCs w:val="20"/>
              </w:rPr>
              <w:t xml:space="preserve">6 level 3 LSAs </w:t>
            </w:r>
            <w:r>
              <w:rPr>
                <w:rFonts w:cs="Arial"/>
                <w:sz w:val="20"/>
                <w:szCs w:val="20"/>
              </w:rPr>
              <w:t>to give dedicated curriculum improvement time to subject leaders. This will allow subject leaders to see the teaching</w:t>
            </w:r>
            <w:r w:rsidR="00C34632">
              <w:rPr>
                <w:rFonts w:cs="Arial"/>
                <w:sz w:val="20"/>
                <w:szCs w:val="20"/>
              </w:rPr>
              <w:t xml:space="preserve"> of</w:t>
            </w:r>
            <w:r>
              <w:rPr>
                <w:rFonts w:cs="Arial"/>
                <w:sz w:val="20"/>
                <w:szCs w:val="20"/>
              </w:rPr>
              <w:t xml:space="preserve"> their subjects more across the school, carry out specific book scrutinies and carry out regular pupil and staff voice. Regular reporting of strengths and areas for development across the school will lead to a further improvement in curriculum delivery</w:t>
            </w:r>
            <w:r w:rsidR="00E9768D">
              <w:rPr>
                <w:rFonts w:cs="Arial"/>
                <w:sz w:val="20"/>
                <w:szCs w:val="20"/>
              </w:rPr>
              <w:t>.</w:t>
            </w:r>
            <w:r w:rsidR="009454F8">
              <w:rPr>
                <w:rFonts w:cs="Arial"/>
                <w:sz w:val="20"/>
                <w:szCs w:val="20"/>
              </w:rPr>
              <w:t xml:space="preserve"> </w:t>
            </w:r>
          </w:p>
          <w:p w14:paraId="77A82B62" w14:textId="4FEFF0FB" w:rsidR="00C34632" w:rsidRDefault="00C34632" w:rsidP="00F97BA1">
            <w:pPr>
              <w:rPr>
                <w:rFonts w:cs="Arial"/>
                <w:sz w:val="20"/>
                <w:szCs w:val="20"/>
              </w:rPr>
            </w:pPr>
            <w:r>
              <w:rPr>
                <w:rFonts w:cs="Arial"/>
                <w:sz w:val="20"/>
                <w:szCs w:val="20"/>
              </w:rPr>
              <w:t>Evidence:</w:t>
            </w:r>
          </w:p>
          <w:p w14:paraId="0A6C6763" w14:textId="730B46EE" w:rsidR="00DE76A5" w:rsidRDefault="00DE76A5" w:rsidP="00F97BA1">
            <w:pPr>
              <w:rPr>
                <w:rFonts w:cs="Arial"/>
                <w:sz w:val="20"/>
                <w:szCs w:val="20"/>
              </w:rPr>
            </w:pPr>
            <w:r>
              <w:rPr>
                <w:rFonts w:cs="Arial"/>
                <w:sz w:val="20"/>
                <w:szCs w:val="20"/>
              </w:rPr>
              <w:t>Triangulation approach to subject leadership, shown below, will allow subject leaders to identify strengths and areas for development in their subject across the school.</w:t>
            </w:r>
          </w:p>
          <w:p w14:paraId="12AD1CCA" w14:textId="65D13763" w:rsidR="00DE76A5" w:rsidRDefault="00DE76A5" w:rsidP="00DE76A5">
            <w:pPr>
              <w:jc w:val="center"/>
              <w:rPr>
                <w:rFonts w:cs="Arial"/>
                <w:sz w:val="20"/>
                <w:szCs w:val="20"/>
              </w:rPr>
            </w:pPr>
            <w:r>
              <w:rPr>
                <w:noProof/>
              </w:rPr>
              <w:drawing>
                <wp:inline distT="0" distB="0" distL="0" distR="0" wp14:anchorId="3BC3CEA2" wp14:editId="0878BAE8">
                  <wp:extent cx="1877291" cy="1349451"/>
                  <wp:effectExtent l="0" t="0" r="889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88705" cy="1357656"/>
                          </a:xfrm>
                          <a:prstGeom prst="rect">
                            <a:avLst/>
                          </a:prstGeom>
                        </pic:spPr>
                      </pic:pic>
                    </a:graphicData>
                  </a:graphic>
                </wp:inline>
              </w:drawing>
            </w:r>
          </w:p>
          <w:p w14:paraId="2646C76E" w14:textId="4E322C9B" w:rsidR="00DE76A5" w:rsidRDefault="00DE76A5" w:rsidP="00DE76A5">
            <w:pPr>
              <w:rPr>
                <w:rFonts w:cs="Arial"/>
                <w:sz w:val="20"/>
                <w:szCs w:val="20"/>
              </w:rPr>
            </w:pPr>
            <w:r>
              <w:rPr>
                <w:noProof/>
              </w:rPr>
              <w:drawing>
                <wp:inline distT="0" distB="0" distL="0" distR="0" wp14:anchorId="75E6050E" wp14:editId="36355CD4">
                  <wp:extent cx="3449782" cy="3447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69122" cy="356686"/>
                          </a:xfrm>
                          <a:prstGeom prst="rect">
                            <a:avLst/>
                          </a:prstGeom>
                        </pic:spPr>
                      </pic:pic>
                    </a:graphicData>
                  </a:graphic>
                </wp:inline>
              </w:drawing>
            </w:r>
          </w:p>
          <w:p w14:paraId="562691F3" w14:textId="3DDEFC01" w:rsidR="00DE76A5" w:rsidRDefault="00C34632" w:rsidP="00F97BA1">
            <w:pPr>
              <w:rPr>
                <w:rFonts w:cs="Arial"/>
                <w:sz w:val="20"/>
                <w:szCs w:val="20"/>
              </w:rPr>
            </w:pPr>
            <w:r>
              <w:rPr>
                <w:rFonts w:cs="Arial"/>
                <w:sz w:val="20"/>
                <w:szCs w:val="20"/>
              </w:rPr>
              <w:t>Structural-learning.com: ‘</w:t>
            </w:r>
            <w:r w:rsidRPr="00C34632">
              <w:rPr>
                <w:rFonts w:cs="Arial"/>
                <w:sz w:val="20"/>
                <w:szCs w:val="20"/>
              </w:rPr>
              <w:t>There are 3 key components to subject leadership: understanding the school context and community, a commitment to an on-going professional development in the subject and being able to discover and endorse models of change.</w:t>
            </w:r>
          </w:p>
          <w:p w14:paraId="352F145E" w14:textId="77777777" w:rsidR="00C34632" w:rsidRDefault="00C34632" w:rsidP="00C34632">
            <w:pPr>
              <w:rPr>
                <w:rFonts w:cs="Arial"/>
                <w:sz w:val="20"/>
                <w:szCs w:val="20"/>
              </w:rPr>
            </w:pPr>
            <w:r>
              <w:rPr>
                <w:rFonts w:cs="Arial"/>
                <w:sz w:val="20"/>
                <w:szCs w:val="20"/>
              </w:rPr>
              <w:t>Juniper Education: ‘</w:t>
            </w:r>
            <w:r w:rsidRPr="00C34632">
              <w:rPr>
                <w:rFonts w:cs="Arial"/>
                <w:sz w:val="20"/>
                <w:szCs w:val="20"/>
              </w:rPr>
              <w:t>Subject leaders have three core roles:</w:t>
            </w:r>
          </w:p>
          <w:p w14:paraId="059A540D" w14:textId="77777777" w:rsidR="00C34632" w:rsidRDefault="00C34632" w:rsidP="00C34632">
            <w:pPr>
              <w:pStyle w:val="ListParagraph"/>
              <w:numPr>
                <w:ilvl w:val="0"/>
                <w:numId w:val="25"/>
              </w:numPr>
              <w:rPr>
                <w:rFonts w:cs="Arial"/>
                <w:sz w:val="20"/>
                <w:szCs w:val="20"/>
              </w:rPr>
            </w:pPr>
            <w:r w:rsidRPr="00C34632">
              <w:rPr>
                <w:rFonts w:cs="Arial"/>
                <w:sz w:val="20"/>
                <w:szCs w:val="20"/>
              </w:rPr>
              <w:t>Judging standards of pupils’ work,</w:t>
            </w:r>
          </w:p>
          <w:p w14:paraId="138A97A5" w14:textId="77777777" w:rsidR="00C34632" w:rsidRDefault="00C34632" w:rsidP="00C34632">
            <w:pPr>
              <w:pStyle w:val="ListParagraph"/>
              <w:numPr>
                <w:ilvl w:val="0"/>
                <w:numId w:val="25"/>
              </w:numPr>
              <w:rPr>
                <w:rFonts w:cs="Arial"/>
                <w:sz w:val="20"/>
                <w:szCs w:val="20"/>
              </w:rPr>
            </w:pPr>
            <w:r w:rsidRPr="00C34632">
              <w:rPr>
                <w:rFonts w:cs="Arial"/>
                <w:sz w:val="20"/>
                <w:szCs w:val="20"/>
              </w:rPr>
              <w:t>Evaluating teaching and learning, and identifying strengths and areas for improvement,</w:t>
            </w:r>
          </w:p>
          <w:p w14:paraId="6678876A" w14:textId="037751D2" w:rsidR="00C34632" w:rsidRPr="00C34632" w:rsidRDefault="00C34632" w:rsidP="00C34632">
            <w:pPr>
              <w:pStyle w:val="ListParagraph"/>
              <w:numPr>
                <w:ilvl w:val="0"/>
                <w:numId w:val="25"/>
              </w:numPr>
              <w:rPr>
                <w:rFonts w:cs="Arial"/>
                <w:sz w:val="20"/>
                <w:szCs w:val="20"/>
              </w:rPr>
            </w:pPr>
            <w:r w:rsidRPr="00C34632">
              <w:rPr>
                <w:rFonts w:cs="Arial"/>
                <w:sz w:val="20"/>
                <w:szCs w:val="20"/>
              </w:rPr>
              <w:t>Leading sustainable improvement by developing a high-quality curriculum delivered through effective teaching, organising quality professional development for staff, and supporting and mentoring staff.</w:t>
            </w:r>
          </w:p>
          <w:p w14:paraId="442C2638" w14:textId="77777777" w:rsidR="00520CE3" w:rsidRPr="00520CE3" w:rsidRDefault="00520CE3" w:rsidP="00520CE3">
            <w:pPr>
              <w:rPr>
                <w:rFonts w:cs="Arial"/>
                <w:sz w:val="20"/>
                <w:szCs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2F9BF" w14:textId="4C8E55F3" w:rsidR="00520CE3" w:rsidRPr="00520CE3" w:rsidRDefault="00520CE3" w:rsidP="00F97BA1">
            <w:pPr>
              <w:pStyle w:val="TableRowCentered"/>
              <w:jc w:val="left"/>
              <w:rPr>
                <w:rFonts w:cs="Arial"/>
                <w:sz w:val="20"/>
              </w:rPr>
            </w:pPr>
            <w:r>
              <w:rPr>
                <w:rFonts w:cs="Arial"/>
                <w:sz w:val="20"/>
              </w:rPr>
              <w:t>1,2,3,4</w:t>
            </w:r>
            <w:r w:rsidR="007A1849">
              <w:rPr>
                <w:rFonts w:cs="Arial"/>
                <w:sz w:val="20"/>
              </w:rPr>
              <w:t>,</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0E8A5849" w:rsidR="00E66558" w:rsidRDefault="009D71E8">
      <w:r>
        <w:t xml:space="preserve">Budgeted cost: £ </w:t>
      </w:r>
      <w:r w:rsidR="00CA468F">
        <w:t>196,053</w:t>
      </w:r>
    </w:p>
    <w:tbl>
      <w:tblPr>
        <w:tblW w:w="5000" w:type="pct"/>
        <w:tblCellMar>
          <w:left w:w="10" w:type="dxa"/>
          <w:right w:w="10" w:type="dxa"/>
        </w:tblCellMar>
        <w:tblLook w:val="04A0" w:firstRow="1" w:lastRow="0" w:firstColumn="1" w:lastColumn="0" w:noHBand="0" w:noVBand="1"/>
      </w:tblPr>
      <w:tblGrid>
        <w:gridCol w:w="1403"/>
        <w:gridCol w:w="6555"/>
        <w:gridCol w:w="1528"/>
      </w:tblGrid>
      <w:tr w:rsidR="00DE76A5" w14:paraId="2A7D5528" w14:textId="77777777" w:rsidTr="002A1993">
        <w:tc>
          <w:tcPr>
            <w:tcW w:w="146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650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DE76A5" w14:paraId="2A7D5530" w14:textId="77777777" w:rsidTr="002A1993">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12154" w14:textId="77777777" w:rsidR="00DE76A5" w:rsidRDefault="00DE76A5" w:rsidP="00DE76A5">
            <w:pPr>
              <w:pStyle w:val="TableRow"/>
              <w:rPr>
                <w:rFonts w:cs="Arial"/>
                <w:sz w:val="20"/>
                <w:szCs w:val="20"/>
              </w:rPr>
            </w:pPr>
            <w:r w:rsidRPr="00A667E3">
              <w:rPr>
                <w:rFonts w:cs="Arial"/>
                <w:sz w:val="20"/>
                <w:szCs w:val="20"/>
              </w:rPr>
              <w:t>3 x Additional TA 3 to support in EYFS</w:t>
            </w:r>
          </w:p>
          <w:p w14:paraId="2A7D552D" w14:textId="0AA6A24C" w:rsidR="00DE76A5" w:rsidRDefault="00C34632" w:rsidP="00DE76A5">
            <w:pPr>
              <w:pStyle w:val="TableRow"/>
              <w:rPr>
                <w:i/>
                <w:sz w:val="22"/>
              </w:rPr>
            </w:pPr>
            <w:r>
              <w:rPr>
                <w:rFonts w:cs="Arial"/>
                <w:sz w:val="20"/>
                <w:szCs w:val="20"/>
              </w:rPr>
              <w:t>£86,028</w:t>
            </w:r>
          </w:p>
        </w:tc>
        <w:tc>
          <w:tcPr>
            <w:tcW w:w="6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0D8DA" w14:textId="26045407" w:rsidR="00DE76A5" w:rsidRDefault="00DE76A5" w:rsidP="00DE76A5">
            <w:pPr>
              <w:rPr>
                <w:rFonts w:eastAsia="Calibri" w:cs="Arial"/>
                <w:sz w:val="20"/>
                <w:szCs w:val="20"/>
              </w:rPr>
            </w:pPr>
            <w:r w:rsidRPr="00C61C5E">
              <w:rPr>
                <w:rFonts w:eastAsia="Calibri" w:cs="Arial"/>
                <w:sz w:val="20"/>
                <w:szCs w:val="20"/>
              </w:rPr>
              <w:t>On entry to Reception, most children have low Language and Communication skills</w:t>
            </w:r>
            <w:r w:rsidRPr="00D57E0A">
              <w:rPr>
                <w:rFonts w:eastAsia="Calibri" w:cs="Arial"/>
                <w:sz w:val="20"/>
                <w:szCs w:val="20"/>
              </w:rPr>
              <w:t xml:space="preserve">. </w:t>
            </w:r>
            <w:r>
              <w:rPr>
                <w:rFonts w:eastAsia="Calibri" w:cs="Arial"/>
                <w:sz w:val="20"/>
                <w:szCs w:val="20"/>
              </w:rPr>
              <w:t xml:space="preserve">Through daily interventions centred around language and communication, we support children with their language development from the very beginning of their time here at Varna. </w:t>
            </w:r>
          </w:p>
          <w:p w14:paraId="0F1862D1" w14:textId="38F30CC9" w:rsidR="00605877" w:rsidRDefault="00605877" w:rsidP="00DE76A5">
            <w:pPr>
              <w:rPr>
                <w:rFonts w:eastAsia="Calibri" w:cs="Arial"/>
                <w:sz w:val="20"/>
                <w:szCs w:val="20"/>
              </w:rPr>
            </w:pPr>
            <w:proofErr w:type="spellStart"/>
            <w:r>
              <w:rPr>
                <w:rFonts w:eastAsia="Calibri" w:cs="Arial"/>
                <w:sz w:val="20"/>
                <w:szCs w:val="20"/>
              </w:rPr>
              <w:t>Wellcom</w:t>
            </w:r>
            <w:proofErr w:type="spellEnd"/>
            <w:r>
              <w:rPr>
                <w:rFonts w:eastAsia="Calibri" w:cs="Arial"/>
                <w:sz w:val="20"/>
                <w:szCs w:val="20"/>
              </w:rPr>
              <w:t xml:space="preserve"> interventions 2 x per week for nursery children and NELI interventions daily for Reception children.</w:t>
            </w:r>
          </w:p>
          <w:p w14:paraId="4283AC0A" w14:textId="46EDB719" w:rsidR="009454F8" w:rsidRDefault="009454F8" w:rsidP="00DE76A5">
            <w:pPr>
              <w:rPr>
                <w:rFonts w:eastAsia="Calibri" w:cs="Arial"/>
                <w:sz w:val="20"/>
                <w:szCs w:val="20"/>
              </w:rPr>
            </w:pPr>
            <w:r>
              <w:rPr>
                <w:rFonts w:eastAsia="Calibri" w:cs="Arial"/>
                <w:sz w:val="20"/>
                <w:szCs w:val="20"/>
              </w:rPr>
              <w:t>Last year the school did observations in every foundation subject, with PPQ and SEND children the focus for all of these. They are the focus again for subject leads this year and the observation cycle that has been completed in the autumn term (with maths as a focus) has again had a focus on PPQ and SEND children. This will continue in the spring and summer terms. Subject leads have PPQ achievement as part of their triangulation approach.</w:t>
            </w:r>
            <w:bookmarkStart w:id="17" w:name="_GoBack"/>
            <w:bookmarkEnd w:id="17"/>
          </w:p>
          <w:p w14:paraId="777966D5" w14:textId="28E4D4C0" w:rsidR="00C34632" w:rsidRDefault="00C34632" w:rsidP="00DE76A5">
            <w:pPr>
              <w:rPr>
                <w:rFonts w:eastAsia="Calibri" w:cs="Arial"/>
                <w:sz w:val="20"/>
                <w:szCs w:val="20"/>
              </w:rPr>
            </w:pPr>
            <w:r>
              <w:rPr>
                <w:rFonts w:eastAsia="Calibri" w:cs="Arial"/>
                <w:sz w:val="20"/>
                <w:szCs w:val="20"/>
              </w:rPr>
              <w:t>Evidence:</w:t>
            </w:r>
          </w:p>
          <w:p w14:paraId="1E4C05BA" w14:textId="39D7C0FC" w:rsidR="00DE76A5" w:rsidRDefault="00DE76A5" w:rsidP="00DE76A5">
            <w:pPr>
              <w:rPr>
                <w:rFonts w:eastAsia="Calibri" w:cs="Arial"/>
                <w:sz w:val="20"/>
                <w:szCs w:val="20"/>
              </w:rPr>
            </w:pPr>
            <w:r>
              <w:rPr>
                <w:noProof/>
              </w:rPr>
              <w:drawing>
                <wp:inline distT="0" distB="0" distL="0" distR="0" wp14:anchorId="658484F0" wp14:editId="27ECD942">
                  <wp:extent cx="3920837" cy="381926"/>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074040" cy="396849"/>
                          </a:xfrm>
                          <a:prstGeom prst="rect">
                            <a:avLst/>
                          </a:prstGeom>
                        </pic:spPr>
                      </pic:pic>
                    </a:graphicData>
                  </a:graphic>
                </wp:inline>
              </w:drawing>
            </w:r>
          </w:p>
          <w:p w14:paraId="25135F1C" w14:textId="23D32643" w:rsidR="00E45E7C" w:rsidRDefault="00E45E7C" w:rsidP="00DE76A5">
            <w:pPr>
              <w:rPr>
                <w:rFonts w:eastAsia="Calibri" w:cs="Arial"/>
                <w:sz w:val="20"/>
                <w:szCs w:val="20"/>
              </w:rPr>
            </w:pPr>
            <w:r w:rsidRPr="00E45E7C">
              <w:rPr>
                <w:rFonts w:eastAsia="Calibri" w:cs="Arial"/>
                <w:sz w:val="20"/>
                <w:szCs w:val="20"/>
              </w:rPr>
              <w:br/>
              <w:t>There is evidence to suggest that pupils from lower socioeconomic backgrounds are more likely to be behind their more advantaged counterparts in developing early language and speech skills, which may affect their school experience and learning later in their school lives.</w:t>
            </w:r>
          </w:p>
          <w:p w14:paraId="2A7D552E" w14:textId="20B6C248" w:rsidR="00DE76A5" w:rsidRDefault="00DE76A5" w:rsidP="00DE76A5">
            <w:pPr>
              <w:pStyle w:val="TableRowCentered"/>
              <w:jc w:val="left"/>
              <w:rPr>
                <w:sz w:val="22"/>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4578C4C" w:rsidR="00DE76A5" w:rsidRDefault="00DE76A5" w:rsidP="00DE76A5">
            <w:pPr>
              <w:pStyle w:val="TableRowCentered"/>
              <w:jc w:val="left"/>
              <w:rPr>
                <w:sz w:val="22"/>
              </w:rPr>
            </w:pPr>
            <w:r w:rsidRPr="00D57E0A">
              <w:rPr>
                <w:rFonts w:cs="Arial"/>
              </w:rPr>
              <w:t>1,2</w:t>
            </w:r>
          </w:p>
        </w:tc>
      </w:tr>
      <w:tr w:rsidR="00C34632" w14:paraId="356C8E28" w14:textId="77777777" w:rsidTr="002A1993">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D6B3F" w14:textId="77777777" w:rsidR="00C34632" w:rsidRDefault="00C34632" w:rsidP="00C34632">
            <w:pPr>
              <w:pStyle w:val="TableRow"/>
              <w:ind w:left="0"/>
              <w:rPr>
                <w:rFonts w:cs="Arial"/>
                <w:sz w:val="20"/>
                <w:szCs w:val="20"/>
              </w:rPr>
            </w:pPr>
            <w:r>
              <w:rPr>
                <w:rFonts w:cs="Arial"/>
                <w:sz w:val="20"/>
                <w:szCs w:val="20"/>
              </w:rPr>
              <w:t>LSA Level 2 Targeted interventions across the school 2.5 days per week</w:t>
            </w:r>
          </w:p>
          <w:p w14:paraId="4CB543E6" w14:textId="77777777" w:rsidR="00C34632" w:rsidRDefault="00C34632" w:rsidP="00C34632">
            <w:pPr>
              <w:pStyle w:val="TableRow"/>
              <w:ind w:left="0"/>
              <w:rPr>
                <w:rFonts w:cs="Arial"/>
                <w:sz w:val="20"/>
                <w:szCs w:val="20"/>
              </w:rPr>
            </w:pPr>
          </w:p>
          <w:p w14:paraId="1C31792B" w14:textId="7BA89C08" w:rsidR="00C34632" w:rsidRPr="00D57E0A" w:rsidRDefault="00C34632" w:rsidP="00C34632">
            <w:pPr>
              <w:pStyle w:val="TableRow"/>
              <w:ind w:left="0"/>
              <w:rPr>
                <w:rFonts w:cs="Arial"/>
                <w:sz w:val="20"/>
                <w:szCs w:val="20"/>
              </w:rPr>
            </w:pPr>
            <w:r>
              <w:rPr>
                <w:rFonts w:cs="Arial"/>
                <w:sz w:val="20"/>
                <w:szCs w:val="20"/>
              </w:rPr>
              <w:t>£106,392</w:t>
            </w:r>
          </w:p>
        </w:tc>
        <w:tc>
          <w:tcPr>
            <w:tcW w:w="6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4A5A4" w14:textId="43C7FB23" w:rsidR="00C34632" w:rsidRDefault="005D57FE" w:rsidP="00DE76A5">
            <w:pPr>
              <w:pStyle w:val="TableRowCentered"/>
              <w:jc w:val="left"/>
              <w:rPr>
                <w:rFonts w:cs="Arial"/>
                <w:sz w:val="20"/>
              </w:rPr>
            </w:pPr>
            <w:r>
              <w:rPr>
                <w:rFonts w:cs="Arial"/>
                <w:sz w:val="20"/>
              </w:rPr>
              <w:t>Each afternoon LSAs are not class based, they deliver a range of interventions across the school.</w:t>
            </w:r>
            <w:r w:rsidR="0063417E">
              <w:rPr>
                <w:rFonts w:cs="Arial"/>
                <w:sz w:val="20"/>
              </w:rPr>
              <w:t xml:space="preserve"> Theses cover different areas of the curriculum, as well as addressing social and emotional areas of needs:</w:t>
            </w:r>
          </w:p>
          <w:p w14:paraId="668FE8A5" w14:textId="21B59003" w:rsidR="0063417E" w:rsidRDefault="0063417E" w:rsidP="0063417E">
            <w:pPr>
              <w:pStyle w:val="TableRowCentered"/>
              <w:numPr>
                <w:ilvl w:val="0"/>
                <w:numId w:val="29"/>
              </w:numPr>
              <w:jc w:val="left"/>
              <w:rPr>
                <w:rFonts w:cs="Arial"/>
                <w:sz w:val="20"/>
              </w:rPr>
            </w:pPr>
            <w:r>
              <w:rPr>
                <w:rFonts w:cs="Arial"/>
                <w:sz w:val="20"/>
              </w:rPr>
              <w:t>1:1 daily reading</w:t>
            </w:r>
          </w:p>
          <w:p w14:paraId="4D628972" w14:textId="5082C7C9" w:rsidR="0063417E" w:rsidRDefault="0063417E" w:rsidP="0063417E">
            <w:pPr>
              <w:pStyle w:val="TableRowCentered"/>
              <w:numPr>
                <w:ilvl w:val="0"/>
                <w:numId w:val="29"/>
              </w:numPr>
              <w:jc w:val="left"/>
              <w:rPr>
                <w:rFonts w:cs="Arial"/>
                <w:sz w:val="20"/>
              </w:rPr>
            </w:pPr>
            <w:proofErr w:type="spellStart"/>
            <w:r>
              <w:rPr>
                <w:rFonts w:cs="Arial"/>
                <w:sz w:val="20"/>
              </w:rPr>
              <w:t>RWInc</w:t>
            </w:r>
            <w:proofErr w:type="spellEnd"/>
            <w:r>
              <w:rPr>
                <w:rFonts w:cs="Arial"/>
                <w:sz w:val="20"/>
              </w:rPr>
              <w:t xml:space="preserve"> interventions for Y2-Y6</w:t>
            </w:r>
          </w:p>
          <w:p w14:paraId="02595B65" w14:textId="4595C725" w:rsidR="0063417E" w:rsidRDefault="0063417E" w:rsidP="0063417E">
            <w:pPr>
              <w:pStyle w:val="TableRowCentered"/>
              <w:numPr>
                <w:ilvl w:val="0"/>
                <w:numId w:val="29"/>
              </w:numPr>
              <w:jc w:val="left"/>
              <w:rPr>
                <w:rFonts w:cs="Arial"/>
                <w:sz w:val="20"/>
              </w:rPr>
            </w:pPr>
            <w:r>
              <w:rPr>
                <w:rFonts w:cs="Arial"/>
                <w:sz w:val="20"/>
              </w:rPr>
              <w:t>1</w:t>
            </w:r>
            <w:r w:rsidRPr="0063417E">
              <w:rPr>
                <w:rFonts w:cs="Arial"/>
                <w:sz w:val="20"/>
                <w:vertAlign w:val="superscript"/>
              </w:rPr>
              <w:t>st</w:t>
            </w:r>
            <w:r>
              <w:rPr>
                <w:rFonts w:cs="Arial"/>
                <w:sz w:val="20"/>
              </w:rPr>
              <w:t xml:space="preserve"> Class @ Number</w:t>
            </w:r>
          </w:p>
          <w:p w14:paraId="1E05A4AB" w14:textId="5239DECF" w:rsidR="0063417E" w:rsidRDefault="0063417E" w:rsidP="0063417E">
            <w:pPr>
              <w:pStyle w:val="TableRowCentered"/>
              <w:numPr>
                <w:ilvl w:val="0"/>
                <w:numId w:val="29"/>
              </w:numPr>
              <w:jc w:val="left"/>
              <w:rPr>
                <w:rFonts w:cs="Arial"/>
                <w:sz w:val="20"/>
              </w:rPr>
            </w:pPr>
            <w:proofErr w:type="spellStart"/>
            <w:r>
              <w:rPr>
                <w:rFonts w:cs="Arial"/>
                <w:sz w:val="20"/>
              </w:rPr>
              <w:t>Coloutful</w:t>
            </w:r>
            <w:proofErr w:type="spellEnd"/>
            <w:r>
              <w:rPr>
                <w:rFonts w:cs="Arial"/>
                <w:sz w:val="20"/>
              </w:rPr>
              <w:t xml:space="preserve"> Semantics and handwriting</w:t>
            </w:r>
          </w:p>
          <w:p w14:paraId="112585F1" w14:textId="1727FF27" w:rsidR="0063417E" w:rsidRDefault="0063417E" w:rsidP="0063417E">
            <w:pPr>
              <w:pStyle w:val="TableRowCentered"/>
              <w:numPr>
                <w:ilvl w:val="0"/>
                <w:numId w:val="29"/>
              </w:numPr>
              <w:jc w:val="left"/>
              <w:rPr>
                <w:rFonts w:cs="Arial"/>
                <w:sz w:val="20"/>
              </w:rPr>
            </w:pPr>
            <w:r>
              <w:rPr>
                <w:rFonts w:cs="Arial"/>
                <w:sz w:val="20"/>
              </w:rPr>
              <w:t>Sensory Circuits</w:t>
            </w:r>
          </w:p>
          <w:p w14:paraId="74743B3B" w14:textId="32E84FD5" w:rsidR="0063417E" w:rsidRDefault="0063417E" w:rsidP="0063417E">
            <w:pPr>
              <w:pStyle w:val="TableRowCentered"/>
              <w:numPr>
                <w:ilvl w:val="0"/>
                <w:numId w:val="29"/>
              </w:numPr>
              <w:jc w:val="left"/>
              <w:rPr>
                <w:rFonts w:cs="Arial"/>
                <w:sz w:val="20"/>
              </w:rPr>
            </w:pPr>
            <w:r>
              <w:rPr>
                <w:rFonts w:cs="Arial"/>
                <w:sz w:val="20"/>
              </w:rPr>
              <w:t>Zones of Emotional Regulation</w:t>
            </w:r>
          </w:p>
          <w:p w14:paraId="154B6557" w14:textId="3F9FD1BA" w:rsidR="0063417E" w:rsidRDefault="0063417E" w:rsidP="0063417E">
            <w:pPr>
              <w:pStyle w:val="TableRowCentered"/>
              <w:numPr>
                <w:ilvl w:val="0"/>
                <w:numId w:val="29"/>
              </w:numPr>
              <w:jc w:val="left"/>
              <w:rPr>
                <w:rFonts w:cs="Arial"/>
                <w:sz w:val="20"/>
              </w:rPr>
            </w:pPr>
            <w:r>
              <w:rPr>
                <w:rFonts w:cs="Arial"/>
                <w:sz w:val="20"/>
              </w:rPr>
              <w:t>Blanks</w:t>
            </w:r>
          </w:p>
          <w:p w14:paraId="713D90CA" w14:textId="3952208F" w:rsidR="0063417E" w:rsidRDefault="0063417E" w:rsidP="0063417E">
            <w:pPr>
              <w:pStyle w:val="TableRowCentered"/>
              <w:numPr>
                <w:ilvl w:val="0"/>
                <w:numId w:val="29"/>
              </w:numPr>
              <w:jc w:val="left"/>
              <w:rPr>
                <w:rFonts w:cs="Arial"/>
                <w:sz w:val="20"/>
              </w:rPr>
            </w:pPr>
            <w:r>
              <w:rPr>
                <w:rFonts w:cs="Arial"/>
                <w:sz w:val="20"/>
              </w:rPr>
              <w:t>Lego Therapy</w:t>
            </w:r>
          </w:p>
          <w:p w14:paraId="5C08FA82" w14:textId="77777777" w:rsidR="00CC6E18" w:rsidRDefault="00CC6E18" w:rsidP="00DE76A5">
            <w:pPr>
              <w:pStyle w:val="TableRowCentered"/>
              <w:jc w:val="left"/>
              <w:rPr>
                <w:rFonts w:cs="Arial"/>
                <w:sz w:val="20"/>
              </w:rPr>
            </w:pPr>
          </w:p>
          <w:p w14:paraId="76F65106" w14:textId="77777777" w:rsidR="00CC6E18" w:rsidRDefault="00CC6E18" w:rsidP="00DE76A5">
            <w:pPr>
              <w:pStyle w:val="TableRowCentered"/>
              <w:jc w:val="left"/>
              <w:rPr>
                <w:rFonts w:cs="Arial"/>
                <w:sz w:val="20"/>
              </w:rPr>
            </w:pPr>
            <w:r>
              <w:rPr>
                <w:noProof/>
              </w:rPr>
              <w:drawing>
                <wp:inline distT="0" distB="0" distL="0" distR="0" wp14:anchorId="60C6CD0E" wp14:editId="63C75A85">
                  <wp:extent cx="3882390" cy="335662"/>
                  <wp:effectExtent l="0" t="0" r="381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58" cy="338158"/>
                          </a:xfrm>
                          <a:prstGeom prst="rect">
                            <a:avLst/>
                          </a:prstGeom>
                        </pic:spPr>
                      </pic:pic>
                    </a:graphicData>
                  </a:graphic>
                </wp:inline>
              </w:drawing>
            </w:r>
          </w:p>
          <w:p w14:paraId="65782DE9" w14:textId="77777777" w:rsidR="00CC6E18" w:rsidRDefault="00CC6E18" w:rsidP="00DE76A5">
            <w:pPr>
              <w:pStyle w:val="TableRowCentered"/>
              <w:jc w:val="left"/>
              <w:rPr>
                <w:rFonts w:cs="Arial"/>
                <w:sz w:val="20"/>
              </w:rPr>
            </w:pPr>
            <w:r w:rsidRPr="00CC6E18">
              <w:rPr>
                <w:rFonts w:cs="Arial"/>
                <w:sz w:val="20"/>
              </w:rPr>
              <w:t>Small group tuition is defined as one teacher, trained teaching assistant or tutor working with two to five pupils together in a group. This arrangement enables the teaching to focus exclusively on a small number of learners, usually in a separate classroom or working area. Intensive tuition in small groups is often provided to support lower attaining learners or those who are falling behind, but it can also be used as a more general strategy to ensure effective progress, or to teach challenging topics or skills.</w:t>
            </w:r>
          </w:p>
          <w:p w14:paraId="7DE175B6" w14:textId="77777777" w:rsidR="00CC6E18" w:rsidRDefault="00CC6E18" w:rsidP="00DE76A5">
            <w:pPr>
              <w:pStyle w:val="TableRowCentered"/>
              <w:jc w:val="left"/>
              <w:rPr>
                <w:rFonts w:cs="Arial"/>
                <w:sz w:val="20"/>
              </w:rPr>
            </w:pPr>
          </w:p>
          <w:p w14:paraId="0C84F14D" w14:textId="77777777" w:rsidR="00CC6E18" w:rsidRDefault="00CC6E18" w:rsidP="00DE76A5">
            <w:pPr>
              <w:pStyle w:val="TableRowCentered"/>
              <w:jc w:val="left"/>
              <w:rPr>
                <w:rFonts w:cs="Arial"/>
                <w:sz w:val="20"/>
              </w:rPr>
            </w:pPr>
            <w:r>
              <w:rPr>
                <w:noProof/>
              </w:rPr>
              <w:drawing>
                <wp:inline distT="0" distB="0" distL="0" distR="0" wp14:anchorId="159B48F8" wp14:editId="4F118967">
                  <wp:extent cx="3931920" cy="339944"/>
                  <wp:effectExtent l="0" t="0" r="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007185" cy="346451"/>
                          </a:xfrm>
                          <a:prstGeom prst="rect">
                            <a:avLst/>
                          </a:prstGeom>
                        </pic:spPr>
                      </pic:pic>
                    </a:graphicData>
                  </a:graphic>
                </wp:inline>
              </w:drawing>
            </w:r>
          </w:p>
          <w:p w14:paraId="07B3A099" w14:textId="77777777" w:rsidR="00CC6E18" w:rsidRDefault="00CC6E18" w:rsidP="00DE76A5">
            <w:pPr>
              <w:pStyle w:val="TableRowCentered"/>
              <w:jc w:val="left"/>
              <w:rPr>
                <w:rFonts w:cs="Arial"/>
                <w:sz w:val="20"/>
              </w:rPr>
            </w:pPr>
          </w:p>
          <w:p w14:paraId="31023320" w14:textId="656D4D91" w:rsidR="00CC6E18" w:rsidRPr="00D57E0A" w:rsidRDefault="004F5A44" w:rsidP="00DE76A5">
            <w:pPr>
              <w:pStyle w:val="TableRowCentered"/>
              <w:jc w:val="left"/>
              <w:rPr>
                <w:rFonts w:cs="Arial"/>
                <w:sz w:val="20"/>
              </w:rPr>
            </w:pPr>
            <w:r w:rsidRPr="004F5A44">
              <w:rPr>
                <w:rFonts w:cs="Arial"/>
                <w:sz w:val="20"/>
              </w:rPr>
              <w:t>Access to high quality teaching is the most important lever schools have to improve outcomes for their pupils. It is particularly important to ensure that when pupils are receiving support from a teaching assistant, this supplements teaching but does not reduce the amount of high-quality interactions they have with their classroom teacher both in and out-of-class.</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025F2" w14:textId="45E6E38A" w:rsidR="00C34632" w:rsidRDefault="00CA468F" w:rsidP="00DE76A5">
            <w:pPr>
              <w:pStyle w:val="TableRowCentered"/>
              <w:jc w:val="left"/>
              <w:rPr>
                <w:rFonts w:cs="Arial"/>
              </w:rPr>
            </w:pPr>
            <w:r>
              <w:rPr>
                <w:rFonts w:cs="Arial"/>
              </w:rPr>
              <w:t>1,2,3,4</w:t>
            </w:r>
          </w:p>
        </w:tc>
      </w:tr>
      <w:tr w:rsidR="00DE76A5" w14:paraId="700807D9" w14:textId="77777777" w:rsidTr="002A1993">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7E602" w14:textId="77777777" w:rsidR="00DE76A5" w:rsidRDefault="00DE76A5" w:rsidP="00DE76A5">
            <w:pPr>
              <w:pStyle w:val="TableRow"/>
              <w:rPr>
                <w:rFonts w:cs="Arial"/>
                <w:sz w:val="20"/>
                <w:szCs w:val="20"/>
              </w:rPr>
            </w:pPr>
            <w:r w:rsidRPr="00D57E0A">
              <w:rPr>
                <w:rFonts w:cs="Arial"/>
                <w:sz w:val="20"/>
                <w:szCs w:val="20"/>
              </w:rPr>
              <w:t>Bursary Foundation – additional support for UKS2 for entry to school requiring entrance exams</w:t>
            </w:r>
          </w:p>
          <w:p w14:paraId="435FB2B1" w14:textId="13FBA2B2" w:rsidR="00DE76A5" w:rsidRPr="00DE76A5" w:rsidRDefault="009571E3" w:rsidP="00DE76A5">
            <w:pPr>
              <w:pStyle w:val="TableRow"/>
              <w:rPr>
                <w:rFonts w:cs="Arial"/>
                <w:sz w:val="20"/>
                <w:szCs w:val="20"/>
              </w:rPr>
            </w:pPr>
            <w:r>
              <w:rPr>
                <w:rFonts w:cs="Arial"/>
                <w:sz w:val="20"/>
                <w:szCs w:val="20"/>
              </w:rPr>
              <w:t>£3,633</w:t>
            </w:r>
          </w:p>
        </w:tc>
        <w:tc>
          <w:tcPr>
            <w:tcW w:w="6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71395" w14:textId="3E0898C5" w:rsidR="00DE76A5" w:rsidRDefault="00DE76A5" w:rsidP="00DE76A5">
            <w:pPr>
              <w:pStyle w:val="TableRowCentered"/>
              <w:jc w:val="left"/>
              <w:rPr>
                <w:rFonts w:cs="Arial"/>
                <w:sz w:val="20"/>
              </w:rPr>
            </w:pPr>
            <w:r w:rsidRPr="00D57E0A">
              <w:rPr>
                <w:rFonts w:cs="Arial"/>
                <w:sz w:val="20"/>
              </w:rPr>
              <w:t>In 2019, only 7% of places offered at grammar schools were offered to disadvantaged pupils</w:t>
            </w:r>
            <w:r>
              <w:rPr>
                <w:rFonts w:cs="Arial"/>
                <w:sz w:val="20"/>
              </w:rPr>
              <w:t>. By working with the Bursary Foundation, the school was supported children being offered places to disadvantage children from the school.</w:t>
            </w:r>
          </w:p>
          <w:p w14:paraId="6AD99F45" w14:textId="1A87E967" w:rsidR="009571E3" w:rsidRDefault="009571E3" w:rsidP="00DE76A5">
            <w:pPr>
              <w:pStyle w:val="TableRowCentered"/>
              <w:jc w:val="left"/>
              <w:rPr>
                <w:rFonts w:cs="Arial"/>
                <w:sz w:val="20"/>
              </w:rPr>
            </w:pPr>
          </w:p>
          <w:p w14:paraId="6B11CA97" w14:textId="10ECE500" w:rsidR="009571E3" w:rsidRDefault="009571E3" w:rsidP="00DE76A5">
            <w:pPr>
              <w:pStyle w:val="TableRowCentered"/>
              <w:jc w:val="left"/>
              <w:rPr>
                <w:rFonts w:cs="Arial"/>
                <w:sz w:val="20"/>
              </w:rPr>
            </w:pPr>
            <w:r>
              <w:rPr>
                <w:rFonts w:cs="Arial"/>
                <w:sz w:val="20"/>
              </w:rPr>
              <w:t>Evidence:</w:t>
            </w:r>
          </w:p>
          <w:p w14:paraId="3044041A" w14:textId="77777777" w:rsidR="00DE76A5" w:rsidRDefault="00DE76A5" w:rsidP="00DE76A5">
            <w:pPr>
              <w:pStyle w:val="TableRowCentered"/>
              <w:jc w:val="left"/>
              <w:rPr>
                <w:rFonts w:cs="Arial"/>
                <w:sz w:val="20"/>
              </w:rPr>
            </w:pPr>
            <w:r w:rsidRPr="00DE76A5">
              <w:rPr>
                <w:rFonts w:cs="Arial"/>
                <w:noProof/>
                <w:sz w:val="20"/>
              </w:rPr>
              <w:drawing>
                <wp:inline distT="0" distB="0" distL="0" distR="0" wp14:anchorId="7F221294" wp14:editId="592FB69E">
                  <wp:extent cx="3955473" cy="401545"/>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022712" cy="408371"/>
                          </a:xfrm>
                          <a:prstGeom prst="rect">
                            <a:avLst/>
                          </a:prstGeom>
                        </pic:spPr>
                      </pic:pic>
                    </a:graphicData>
                  </a:graphic>
                </wp:inline>
              </w:drawing>
            </w:r>
          </w:p>
          <w:p w14:paraId="36162161" w14:textId="1F94E7B7" w:rsidR="00E45E7C" w:rsidRDefault="00E45E7C" w:rsidP="00E45E7C">
            <w:pPr>
              <w:pStyle w:val="TableRowCentered"/>
              <w:jc w:val="left"/>
              <w:rPr>
                <w:rFonts w:cs="Arial"/>
                <w:sz w:val="20"/>
              </w:rPr>
            </w:pPr>
            <w:r w:rsidRPr="00E45E7C">
              <w:rPr>
                <w:rFonts w:cs="Arial"/>
                <w:sz w:val="20"/>
              </w:rPr>
              <w:t> One to one tuition offers greater levels of interaction and feedback compared to whole class teaching which can support pupils spend more time on new or unfamiliar, overcome barriers to learning and increase their progress through the curriculum.</w:t>
            </w:r>
          </w:p>
          <w:p w14:paraId="2E8A1A51" w14:textId="58264856" w:rsidR="00A417B5" w:rsidRDefault="00A417B5" w:rsidP="00E45E7C">
            <w:pPr>
              <w:pStyle w:val="TableRowCentered"/>
              <w:jc w:val="left"/>
              <w:rPr>
                <w:rFonts w:cs="Arial"/>
                <w:sz w:val="20"/>
              </w:rPr>
            </w:pPr>
          </w:p>
          <w:p w14:paraId="4FB1EB99" w14:textId="364A37C9" w:rsidR="00A417B5" w:rsidRPr="00E45E7C" w:rsidRDefault="009571E3" w:rsidP="00E45E7C">
            <w:pPr>
              <w:pStyle w:val="TableRowCentered"/>
              <w:jc w:val="left"/>
              <w:rPr>
                <w:rFonts w:cs="Arial"/>
                <w:sz w:val="20"/>
              </w:rPr>
            </w:pPr>
            <w:r>
              <w:rPr>
                <w:rFonts w:cs="Arial"/>
                <w:sz w:val="20"/>
              </w:rPr>
              <w:t xml:space="preserve">Over the past 4 years, we have had success  - </w:t>
            </w:r>
            <w:r w:rsidR="00A417B5">
              <w:rPr>
                <w:rFonts w:cs="Arial"/>
                <w:sz w:val="20"/>
              </w:rPr>
              <w:t xml:space="preserve"> PPQ children put forward for the 11+ have passed it, with some going on to be offered full bursary scholarships. </w:t>
            </w:r>
          </w:p>
          <w:p w14:paraId="2C970875" w14:textId="0220680A" w:rsidR="00E45E7C" w:rsidRPr="00DE76A5" w:rsidRDefault="00E45E7C" w:rsidP="00E45E7C">
            <w:pPr>
              <w:pStyle w:val="TableRowCentered"/>
              <w:rPr>
                <w:rFonts w:cs="Arial"/>
                <w:sz w:val="20"/>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C355D" w14:textId="55FF3A62" w:rsidR="00DE76A5" w:rsidRPr="00DE76A5" w:rsidRDefault="008F5179" w:rsidP="00DE76A5">
            <w:pPr>
              <w:pStyle w:val="TableRowCentered"/>
              <w:jc w:val="left"/>
              <w:rPr>
                <w:rFonts w:cs="Arial"/>
              </w:rPr>
            </w:pPr>
            <w:r>
              <w:rPr>
                <w:rFonts w:cs="Arial"/>
              </w:rPr>
              <w:t>3</w:t>
            </w:r>
          </w:p>
        </w:tc>
      </w:tr>
    </w:tbl>
    <w:p w14:paraId="2A7D5531" w14:textId="25ABF7B6" w:rsidR="00E66558" w:rsidRDefault="00E66558">
      <w:pPr>
        <w:spacing w:after="0"/>
        <w:rPr>
          <w:b/>
          <w:color w:val="104F75"/>
          <w:sz w:val="28"/>
          <w:szCs w:val="28"/>
        </w:rPr>
      </w:pPr>
    </w:p>
    <w:p w14:paraId="514AD509" w14:textId="486BF036" w:rsidR="00062CE6" w:rsidRDefault="00062CE6">
      <w:pPr>
        <w:spacing w:after="0"/>
        <w:rPr>
          <w:b/>
          <w:color w:val="104F75"/>
          <w:sz w:val="28"/>
          <w:szCs w:val="28"/>
        </w:rPr>
      </w:pPr>
    </w:p>
    <w:p w14:paraId="6FEB2DF7" w14:textId="3AA50A7E" w:rsidR="00062CE6" w:rsidRDefault="00062CE6">
      <w:pPr>
        <w:spacing w:after="0"/>
        <w:rPr>
          <w:b/>
          <w:color w:val="104F75"/>
          <w:sz w:val="28"/>
          <w:szCs w:val="28"/>
        </w:rPr>
      </w:pPr>
    </w:p>
    <w:p w14:paraId="68904B8D" w14:textId="7EE8CA42" w:rsidR="00062CE6" w:rsidRDefault="00062CE6">
      <w:pPr>
        <w:spacing w:after="0"/>
        <w:rPr>
          <w:b/>
          <w:color w:val="104F75"/>
          <w:sz w:val="28"/>
          <w:szCs w:val="28"/>
        </w:rPr>
      </w:pPr>
    </w:p>
    <w:p w14:paraId="43A452C4" w14:textId="77777777" w:rsidR="00062CE6" w:rsidRDefault="00062CE6">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46E66A24" w:rsidR="00E66558" w:rsidRDefault="0033416A">
      <w:pPr>
        <w:spacing w:before="240" w:after="120"/>
      </w:pPr>
      <w:r>
        <w:t xml:space="preserve">Budgeted cost: £ </w:t>
      </w:r>
      <w:r w:rsidR="00CA468F">
        <w:t>45,500</w:t>
      </w:r>
    </w:p>
    <w:tbl>
      <w:tblPr>
        <w:tblW w:w="5000" w:type="pct"/>
        <w:tblCellMar>
          <w:left w:w="10" w:type="dxa"/>
          <w:right w:w="10" w:type="dxa"/>
        </w:tblCellMar>
        <w:tblLook w:val="04A0" w:firstRow="1" w:lastRow="0" w:firstColumn="1" w:lastColumn="0" w:noHBand="0" w:noVBand="1"/>
      </w:tblPr>
      <w:tblGrid>
        <w:gridCol w:w="1365"/>
        <w:gridCol w:w="6602"/>
        <w:gridCol w:w="1519"/>
      </w:tblGrid>
      <w:tr w:rsidR="00CC6E18" w14:paraId="2A7D5537" w14:textId="77777777" w:rsidTr="00CC6E18">
        <w:tc>
          <w:tcPr>
            <w:tcW w:w="18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57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90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CA468F" w14:paraId="2A7D553B" w14:textId="77777777" w:rsidTr="00CC6E18">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C6288" w14:textId="77777777" w:rsidR="00062CE6" w:rsidRDefault="00062CE6" w:rsidP="00062CE6">
            <w:pPr>
              <w:pStyle w:val="TableRow"/>
              <w:rPr>
                <w:rFonts w:cs="Arial"/>
                <w:sz w:val="20"/>
                <w:szCs w:val="20"/>
              </w:rPr>
            </w:pPr>
            <w:r w:rsidRPr="00C61C5E">
              <w:rPr>
                <w:rFonts w:cs="Arial"/>
                <w:sz w:val="20"/>
                <w:szCs w:val="20"/>
              </w:rPr>
              <w:t>Specialist Art Teacher  - supporting and developing staff to deliver quality art outcomes to improve art teaching across the school</w:t>
            </w:r>
          </w:p>
          <w:p w14:paraId="2A7D5538" w14:textId="1F3D5D50" w:rsidR="005456B5" w:rsidRDefault="002A1993" w:rsidP="009571E3">
            <w:pPr>
              <w:pStyle w:val="TableRow"/>
            </w:pPr>
            <w:r>
              <w:rPr>
                <w:rFonts w:cs="Arial"/>
                <w:sz w:val="20"/>
                <w:szCs w:val="20"/>
              </w:rPr>
              <w:t>£</w:t>
            </w:r>
            <w:r w:rsidR="009571E3">
              <w:rPr>
                <w:rFonts w:cs="Arial"/>
                <w:sz w:val="20"/>
                <w:szCs w:val="20"/>
              </w:rPr>
              <w:t>10,000</w:t>
            </w:r>
          </w:p>
        </w:tc>
        <w:tc>
          <w:tcPr>
            <w:tcW w:w="5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A4CCA" w14:textId="189D4C87" w:rsidR="00062CE6" w:rsidRDefault="00062CE6" w:rsidP="00C955FE">
            <w:pPr>
              <w:pStyle w:val="TableRowCentered"/>
              <w:jc w:val="left"/>
              <w:rPr>
                <w:rFonts w:cs="Arial"/>
                <w:sz w:val="20"/>
              </w:rPr>
            </w:pPr>
            <w:r>
              <w:rPr>
                <w:rFonts w:cs="Arial"/>
                <w:sz w:val="20"/>
              </w:rPr>
              <w:t>Quality teaching helps every child</w:t>
            </w:r>
            <w:r w:rsidR="00C955FE">
              <w:rPr>
                <w:rFonts w:cs="Arial"/>
                <w:sz w:val="20"/>
              </w:rPr>
              <w:t xml:space="preserve"> – we are using this </w:t>
            </w:r>
            <w:r w:rsidR="009E00F0">
              <w:rPr>
                <w:rFonts w:cs="Arial"/>
                <w:sz w:val="20"/>
              </w:rPr>
              <w:t>professional</w:t>
            </w:r>
            <w:r w:rsidR="00C955FE">
              <w:rPr>
                <w:rFonts w:cs="Arial"/>
                <w:sz w:val="20"/>
              </w:rPr>
              <w:t xml:space="preserve"> to improve the skills of our teaching staff in delivering exciting and relevant art units</w:t>
            </w:r>
            <w:r>
              <w:rPr>
                <w:rFonts w:cs="Arial"/>
                <w:sz w:val="20"/>
              </w:rPr>
              <w:t xml:space="preserve">. </w:t>
            </w:r>
            <w:r w:rsidR="00CC6E18">
              <w:rPr>
                <w:rFonts w:cs="Arial"/>
                <w:sz w:val="20"/>
              </w:rPr>
              <w:t xml:space="preserve">Art specialist has worked with the school to create their own art curriculum for the school that is cross-curricular and meets all the expectations of the National Curriculum, as well as a sketching programme across KS1 and KS2 to help develop a range of techniques, promote mindfulness and allow the children more opportunities to be creative. </w:t>
            </w:r>
          </w:p>
          <w:p w14:paraId="47F8E8AA" w14:textId="2E0325B4" w:rsidR="009571E3" w:rsidRDefault="009571E3" w:rsidP="00C955FE">
            <w:pPr>
              <w:pStyle w:val="TableRowCentered"/>
              <w:jc w:val="left"/>
              <w:rPr>
                <w:rFonts w:cs="Arial"/>
                <w:sz w:val="20"/>
              </w:rPr>
            </w:pPr>
            <w:r>
              <w:rPr>
                <w:rFonts w:cs="Arial"/>
                <w:sz w:val="20"/>
              </w:rPr>
              <w:t>Evidence:</w:t>
            </w:r>
          </w:p>
          <w:p w14:paraId="0687180D" w14:textId="77777777" w:rsidR="00DE76A5" w:rsidRDefault="00DE76A5" w:rsidP="00C955FE">
            <w:pPr>
              <w:pStyle w:val="TableRowCentered"/>
              <w:jc w:val="left"/>
              <w:rPr>
                <w:sz w:val="22"/>
              </w:rPr>
            </w:pPr>
            <w:r>
              <w:rPr>
                <w:noProof/>
              </w:rPr>
              <w:drawing>
                <wp:inline distT="0" distB="0" distL="0" distR="0" wp14:anchorId="6D776748" wp14:editId="6ACDD24F">
                  <wp:extent cx="3394364" cy="33529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476176" cy="343371"/>
                          </a:xfrm>
                          <a:prstGeom prst="rect">
                            <a:avLst/>
                          </a:prstGeom>
                        </pic:spPr>
                      </pic:pic>
                    </a:graphicData>
                  </a:graphic>
                </wp:inline>
              </w:drawing>
            </w:r>
          </w:p>
          <w:p w14:paraId="6E029392" w14:textId="77777777" w:rsidR="00E45E7C" w:rsidRDefault="00E45E7C" w:rsidP="00C955FE">
            <w:pPr>
              <w:pStyle w:val="TableRowCentered"/>
              <w:jc w:val="left"/>
              <w:rPr>
                <w:sz w:val="20"/>
              </w:rPr>
            </w:pPr>
            <w:r w:rsidRPr="00E45E7C">
              <w:rPr>
                <w:sz w:val="20"/>
              </w:rPr>
              <w:t>There is intrinsic value in teaching pupils creative and performance skills and ensuring disadvantaged pupils access a rich and stimulating arts education. </w:t>
            </w:r>
          </w:p>
          <w:p w14:paraId="71DF59D5" w14:textId="77777777" w:rsidR="009571E3" w:rsidRDefault="009571E3" w:rsidP="00C955FE">
            <w:pPr>
              <w:pStyle w:val="TableRowCentered"/>
              <w:jc w:val="left"/>
              <w:rPr>
                <w:sz w:val="20"/>
              </w:rPr>
            </w:pPr>
          </w:p>
          <w:p w14:paraId="39F7A5DF" w14:textId="0A0DFEEC" w:rsidR="009571E3" w:rsidRPr="009571E3" w:rsidRDefault="009571E3" w:rsidP="00CC6E18">
            <w:pPr>
              <w:pStyle w:val="TableRowCentered"/>
              <w:jc w:val="left"/>
              <w:rPr>
                <w:sz w:val="20"/>
              </w:rPr>
            </w:pPr>
            <w:r>
              <w:rPr>
                <w:sz w:val="20"/>
              </w:rPr>
              <w:t>OFSTED Research Review series</w:t>
            </w:r>
            <w:r w:rsidR="00CC6E18">
              <w:rPr>
                <w:sz w:val="20"/>
              </w:rPr>
              <w:t xml:space="preserve"> (February 2023)</w:t>
            </w:r>
            <w:r>
              <w:rPr>
                <w:sz w:val="20"/>
              </w:rPr>
              <w:t>: Art and design: ‘</w:t>
            </w:r>
            <w:r w:rsidR="00CC6E18">
              <w:rPr>
                <w:sz w:val="20"/>
              </w:rPr>
              <w:t xml:space="preserve">A report </w:t>
            </w:r>
            <w:r w:rsidRPr="009571E3">
              <w:rPr>
                <w:sz w:val="20"/>
              </w:rPr>
              <w:t xml:space="preserve">has highlighted a decline in both the quality and quantity of art education in primary </w:t>
            </w:r>
            <w:r w:rsidR="00CC6E18" w:rsidRPr="009571E3">
              <w:rPr>
                <w:sz w:val="20"/>
              </w:rPr>
              <w:t>schools.</w:t>
            </w:r>
            <w:r w:rsidR="00CC6E18">
              <w:rPr>
                <w:sz w:val="20"/>
              </w:rPr>
              <w:t xml:space="preserve"> </w:t>
            </w:r>
            <w:r w:rsidR="00CC6E18" w:rsidRPr="009571E3">
              <w:rPr>
                <w:sz w:val="20"/>
              </w:rPr>
              <w:t>There</w:t>
            </w:r>
            <w:r w:rsidRPr="009571E3">
              <w:rPr>
                <w:sz w:val="20"/>
              </w:rPr>
              <w:t xml:space="preserve"> may be a range of reasons for this, including:</w:t>
            </w:r>
          </w:p>
          <w:p w14:paraId="6CA32344" w14:textId="76E3E457" w:rsidR="009571E3" w:rsidRPr="009571E3" w:rsidRDefault="009571E3" w:rsidP="00CC6E18">
            <w:pPr>
              <w:pStyle w:val="TableRowCentered"/>
              <w:numPr>
                <w:ilvl w:val="0"/>
                <w:numId w:val="26"/>
              </w:numPr>
              <w:jc w:val="left"/>
              <w:rPr>
                <w:sz w:val="20"/>
              </w:rPr>
            </w:pPr>
            <w:r w:rsidRPr="009571E3">
              <w:rPr>
                <w:sz w:val="20"/>
              </w:rPr>
              <w:t>a decline in real-terms funding, so pupils have less access to specialist resources and support</w:t>
            </w:r>
          </w:p>
          <w:p w14:paraId="498CDDF1" w14:textId="59470B1E" w:rsidR="009571E3" w:rsidRPr="009571E3" w:rsidRDefault="009571E3" w:rsidP="00CC6E18">
            <w:pPr>
              <w:pStyle w:val="TableRowCentered"/>
              <w:numPr>
                <w:ilvl w:val="0"/>
                <w:numId w:val="26"/>
              </w:numPr>
              <w:jc w:val="left"/>
              <w:rPr>
                <w:sz w:val="20"/>
              </w:rPr>
            </w:pPr>
            <w:r w:rsidRPr="009571E3">
              <w:rPr>
                <w:sz w:val="20"/>
              </w:rPr>
              <w:t>schools focus more on core subjects and less on foundation subjects</w:t>
            </w:r>
          </w:p>
          <w:p w14:paraId="3C2B324E" w14:textId="2FDDCD74" w:rsidR="009571E3" w:rsidRPr="009571E3" w:rsidRDefault="009571E3" w:rsidP="00CC6E18">
            <w:pPr>
              <w:pStyle w:val="TableRowCentered"/>
              <w:numPr>
                <w:ilvl w:val="0"/>
                <w:numId w:val="26"/>
              </w:numPr>
              <w:jc w:val="left"/>
              <w:rPr>
                <w:sz w:val="20"/>
              </w:rPr>
            </w:pPr>
            <w:r w:rsidRPr="009571E3">
              <w:rPr>
                <w:sz w:val="20"/>
              </w:rPr>
              <w:t>primary teachers lack the skills, training and experience to teach a high-quality art curriculum</w:t>
            </w:r>
          </w:p>
          <w:p w14:paraId="2A7D5539" w14:textId="1D068959" w:rsidR="009571E3" w:rsidRPr="00E45E7C" w:rsidRDefault="009571E3" w:rsidP="00C955FE">
            <w:pPr>
              <w:pStyle w:val="TableRowCentered"/>
              <w:jc w:val="left"/>
              <w:rPr>
                <w:sz w:val="20"/>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4B9470D" w:rsidR="00062CE6" w:rsidRDefault="00062CE6" w:rsidP="00062CE6">
            <w:pPr>
              <w:pStyle w:val="TableRowCentered"/>
              <w:jc w:val="left"/>
              <w:rPr>
                <w:sz w:val="22"/>
              </w:rPr>
            </w:pPr>
            <w:r>
              <w:rPr>
                <w:rFonts w:cs="Arial"/>
              </w:rPr>
              <w:t>1,</w:t>
            </w:r>
            <w:r w:rsidR="008F5179">
              <w:rPr>
                <w:rFonts w:cs="Arial"/>
              </w:rPr>
              <w:t>2,</w:t>
            </w:r>
            <w:r>
              <w:rPr>
                <w:rFonts w:cs="Arial"/>
              </w:rPr>
              <w:t>3,</w:t>
            </w:r>
            <w:r w:rsidRPr="00C61C5E">
              <w:rPr>
                <w:rFonts w:cs="Arial"/>
              </w:rPr>
              <w:t>4</w:t>
            </w:r>
            <w:r w:rsidR="007A1849">
              <w:rPr>
                <w:rFonts w:cs="Arial"/>
              </w:rPr>
              <w:t>,</w:t>
            </w:r>
          </w:p>
        </w:tc>
      </w:tr>
      <w:tr w:rsidR="00CA468F" w14:paraId="0905C51E" w14:textId="77777777" w:rsidTr="00CC6E18">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C3B71" w14:textId="77777777" w:rsidR="00062CE6" w:rsidRDefault="00062CE6" w:rsidP="00062CE6">
            <w:pPr>
              <w:pStyle w:val="TableRow"/>
              <w:rPr>
                <w:sz w:val="20"/>
                <w:szCs w:val="20"/>
              </w:rPr>
            </w:pPr>
            <w:r w:rsidRPr="00062CE6">
              <w:rPr>
                <w:sz w:val="20"/>
                <w:szCs w:val="20"/>
              </w:rPr>
              <w:t>School Residential</w:t>
            </w:r>
          </w:p>
          <w:p w14:paraId="65C6EB58" w14:textId="6C30229E" w:rsidR="005456B5" w:rsidRPr="00062CE6" w:rsidRDefault="00CC6E18" w:rsidP="00062CE6">
            <w:pPr>
              <w:pStyle w:val="TableRow"/>
              <w:rPr>
                <w:sz w:val="20"/>
                <w:szCs w:val="20"/>
              </w:rPr>
            </w:pPr>
            <w:r>
              <w:rPr>
                <w:sz w:val="20"/>
                <w:szCs w:val="20"/>
              </w:rPr>
              <w:t>£17,500</w:t>
            </w:r>
          </w:p>
        </w:tc>
        <w:tc>
          <w:tcPr>
            <w:tcW w:w="5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E3450" w14:textId="66E95D68" w:rsidR="00062CE6" w:rsidRDefault="00062CE6" w:rsidP="00062CE6">
            <w:pPr>
              <w:pStyle w:val="TableRowCentered"/>
              <w:jc w:val="left"/>
              <w:rPr>
                <w:sz w:val="20"/>
              </w:rPr>
            </w:pPr>
            <w:r>
              <w:rPr>
                <w:sz w:val="20"/>
              </w:rPr>
              <w:t>The vast majority</w:t>
            </w:r>
            <w:r w:rsidRPr="00062CE6">
              <w:rPr>
                <w:sz w:val="20"/>
              </w:rPr>
              <w:t xml:space="preserve"> of our pupils</w:t>
            </w:r>
            <w:r>
              <w:rPr>
                <w:sz w:val="20"/>
              </w:rPr>
              <w:t>’</w:t>
            </w:r>
            <w:r w:rsidRPr="00062CE6">
              <w:rPr>
                <w:sz w:val="20"/>
              </w:rPr>
              <w:t xml:space="preserve"> only time away from home during the year is on </w:t>
            </w:r>
            <w:r>
              <w:rPr>
                <w:sz w:val="20"/>
              </w:rPr>
              <w:t>the school residential.</w:t>
            </w:r>
            <w:r w:rsidRPr="00062CE6">
              <w:rPr>
                <w:sz w:val="20"/>
              </w:rPr>
              <w:t xml:space="preserve"> It is essential for their own wellbeing that they experience different settin</w:t>
            </w:r>
            <w:r>
              <w:rPr>
                <w:sz w:val="20"/>
              </w:rPr>
              <w:t xml:space="preserve">gs before writing about it. The </w:t>
            </w:r>
            <w:r w:rsidRPr="00062CE6">
              <w:rPr>
                <w:sz w:val="20"/>
              </w:rPr>
              <w:t>residential</w:t>
            </w:r>
            <w:r>
              <w:rPr>
                <w:sz w:val="20"/>
              </w:rPr>
              <w:t xml:space="preserve"> is</w:t>
            </w:r>
            <w:r w:rsidRPr="00062CE6">
              <w:rPr>
                <w:sz w:val="20"/>
              </w:rPr>
              <w:t xml:space="preserve"> linked to</w:t>
            </w:r>
            <w:r>
              <w:rPr>
                <w:sz w:val="20"/>
              </w:rPr>
              <w:t xml:space="preserve"> themes and foci </w:t>
            </w:r>
            <w:r w:rsidRPr="00062CE6">
              <w:rPr>
                <w:sz w:val="20"/>
              </w:rPr>
              <w:t xml:space="preserve">that they </w:t>
            </w:r>
            <w:r>
              <w:rPr>
                <w:sz w:val="20"/>
              </w:rPr>
              <w:t>study in school.</w:t>
            </w:r>
          </w:p>
          <w:p w14:paraId="04A3B6F5" w14:textId="77777777" w:rsidR="00DE76A5" w:rsidRDefault="00DE76A5" w:rsidP="00062CE6">
            <w:pPr>
              <w:pStyle w:val="TableRowCentered"/>
              <w:jc w:val="left"/>
              <w:rPr>
                <w:sz w:val="20"/>
              </w:rPr>
            </w:pPr>
          </w:p>
          <w:p w14:paraId="4D40D184" w14:textId="6AB26633" w:rsidR="00DE76A5" w:rsidRDefault="00605877" w:rsidP="00605877">
            <w:pPr>
              <w:pStyle w:val="TableRowCentered"/>
              <w:jc w:val="left"/>
              <w:rPr>
                <w:rFonts w:cs="Arial"/>
                <w:color w:val="263238"/>
                <w:sz w:val="20"/>
                <w:shd w:val="clear" w:color="auto" w:fill="FFFFFF"/>
              </w:rPr>
            </w:pPr>
            <w:r w:rsidRPr="00605877">
              <w:rPr>
                <w:rFonts w:cs="Arial"/>
                <w:color w:val="263238"/>
                <w:sz w:val="20"/>
                <w:shd w:val="clear" w:color="auto" w:fill="FFFFFF"/>
              </w:rPr>
              <w:t>Adventure education usually involves collaborative learning experiences with a high level of physical (and often emotional) challenge. Practical problem-solving, explicit reflection and discussion of thinking and emotion</w:t>
            </w:r>
            <w:r>
              <w:rPr>
                <w:rFonts w:cs="Arial"/>
                <w:color w:val="263238"/>
                <w:sz w:val="20"/>
                <w:shd w:val="clear" w:color="auto" w:fill="FFFFFF"/>
              </w:rPr>
              <w:t xml:space="preserve"> </w:t>
            </w:r>
            <w:r w:rsidRPr="00605877">
              <w:rPr>
                <w:rFonts w:cs="Arial"/>
                <w:color w:val="263238"/>
                <w:sz w:val="20"/>
                <w:shd w:val="clear" w:color="auto" w:fill="FFFFFF"/>
              </w:rPr>
              <w:t>may also be involved.</w:t>
            </w:r>
            <w:r>
              <w:rPr>
                <w:rFonts w:cs="Arial"/>
                <w:color w:val="263238"/>
                <w:sz w:val="20"/>
                <w:shd w:val="clear" w:color="auto" w:fill="FFFFFF"/>
              </w:rPr>
              <w:t xml:space="preserve"> The school uses Outward Bound as their provider and during the organisation stages of the trip, certain foci are used across the week based on the cohort. In the past these have been such values as cooperation and resilience.</w:t>
            </w:r>
          </w:p>
          <w:p w14:paraId="5907B56D" w14:textId="77777777" w:rsidR="00CC6E18" w:rsidRDefault="00CC6E18" w:rsidP="00605877">
            <w:pPr>
              <w:pStyle w:val="TableRowCentered"/>
              <w:jc w:val="left"/>
              <w:rPr>
                <w:rFonts w:cs="Arial"/>
                <w:color w:val="263238"/>
                <w:sz w:val="20"/>
                <w:shd w:val="clear" w:color="auto" w:fill="FFFFFF"/>
              </w:rPr>
            </w:pPr>
          </w:p>
          <w:p w14:paraId="18A67D6A" w14:textId="64D36686" w:rsidR="00CC6E18" w:rsidRDefault="00CC6E18" w:rsidP="00605877">
            <w:pPr>
              <w:pStyle w:val="TableRowCentered"/>
              <w:jc w:val="left"/>
              <w:rPr>
                <w:rFonts w:cs="Arial"/>
                <w:color w:val="263238"/>
                <w:sz w:val="20"/>
                <w:shd w:val="clear" w:color="auto" w:fill="FFFFFF"/>
              </w:rPr>
            </w:pPr>
            <w:r>
              <w:rPr>
                <w:rFonts w:cs="Arial"/>
                <w:color w:val="263238"/>
                <w:sz w:val="20"/>
                <w:shd w:val="clear" w:color="auto" w:fill="FFFFFF"/>
              </w:rPr>
              <w:t>Evidence:</w:t>
            </w:r>
          </w:p>
          <w:p w14:paraId="1D110B5B" w14:textId="77777777" w:rsidR="00CC6E18" w:rsidRDefault="00CC6E18" w:rsidP="00605877">
            <w:pPr>
              <w:pStyle w:val="TableRowCentered"/>
              <w:jc w:val="left"/>
              <w:rPr>
                <w:rFonts w:cs="Arial"/>
                <w:color w:val="263238"/>
                <w:sz w:val="20"/>
                <w:shd w:val="clear" w:color="auto" w:fill="FFFFFF"/>
              </w:rPr>
            </w:pPr>
          </w:p>
          <w:p w14:paraId="337F9C9E" w14:textId="77777777" w:rsidR="00605877" w:rsidRDefault="00605877" w:rsidP="00605877">
            <w:pPr>
              <w:pStyle w:val="TableRowCentered"/>
              <w:jc w:val="left"/>
              <w:rPr>
                <w:rFonts w:cs="Arial"/>
                <w:sz w:val="20"/>
              </w:rPr>
            </w:pPr>
            <w:r>
              <w:rPr>
                <w:noProof/>
              </w:rPr>
              <w:drawing>
                <wp:inline distT="0" distB="0" distL="0" distR="0" wp14:anchorId="5E3134DF" wp14:editId="55800AC1">
                  <wp:extent cx="3429000" cy="279491"/>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659789" cy="298302"/>
                          </a:xfrm>
                          <a:prstGeom prst="rect">
                            <a:avLst/>
                          </a:prstGeom>
                        </pic:spPr>
                      </pic:pic>
                    </a:graphicData>
                  </a:graphic>
                </wp:inline>
              </w:drawing>
            </w:r>
          </w:p>
          <w:p w14:paraId="1D7D32D9" w14:textId="77777777" w:rsidR="00E45E7C" w:rsidRDefault="00E45E7C" w:rsidP="00605877">
            <w:pPr>
              <w:pStyle w:val="TableRowCentered"/>
              <w:jc w:val="left"/>
              <w:rPr>
                <w:rFonts w:cs="Arial"/>
                <w:sz w:val="20"/>
              </w:rPr>
            </w:pPr>
            <w:r w:rsidRPr="00E45E7C">
              <w:rPr>
                <w:rFonts w:cs="Arial"/>
                <w:sz w:val="20"/>
              </w:rPr>
              <w:t>Physical activity has important benefits in terms of health, wellbeing and physical development.</w:t>
            </w:r>
          </w:p>
          <w:p w14:paraId="7916526C" w14:textId="77777777" w:rsidR="00CC6E18" w:rsidRDefault="00CC6E18" w:rsidP="00605877">
            <w:pPr>
              <w:pStyle w:val="TableRowCentered"/>
              <w:jc w:val="left"/>
              <w:rPr>
                <w:rFonts w:cs="Arial"/>
                <w:sz w:val="20"/>
              </w:rPr>
            </w:pPr>
          </w:p>
          <w:p w14:paraId="6A330921" w14:textId="77777777" w:rsidR="00CC6E18" w:rsidRPr="00CC6E18" w:rsidRDefault="00CC6E18" w:rsidP="00CC6E18">
            <w:pPr>
              <w:pStyle w:val="TableRowCentered"/>
              <w:jc w:val="left"/>
              <w:rPr>
                <w:rFonts w:cs="Arial"/>
                <w:sz w:val="20"/>
              </w:rPr>
            </w:pPr>
            <w:r w:rsidRPr="00CC6E18">
              <w:rPr>
                <w:rFonts w:cs="Arial"/>
                <w:sz w:val="20"/>
              </w:rPr>
              <w:t>Business Education states, ‘In addition to the multitude of evidence, there is much anecdotal support about benefits of outdoor education experiences; teachers, for example, often speak of the improvement they have in relationships with students following a trip. School trips are an important part of the wider family of outdoor learning opportunities, all of which provide beneficial outcomes to children with a wide range of abilities and issues.</w:t>
            </w:r>
          </w:p>
          <w:p w14:paraId="1B3F78C5" w14:textId="29BAA9F1" w:rsidR="00CC6E18" w:rsidRPr="00605877" w:rsidRDefault="00CC6E18" w:rsidP="00605877">
            <w:pPr>
              <w:pStyle w:val="TableRowCentered"/>
              <w:jc w:val="left"/>
              <w:rPr>
                <w:rFonts w:cs="Arial"/>
                <w:sz w:val="20"/>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8E352" w14:textId="77DCDF37" w:rsidR="00062CE6" w:rsidRDefault="008F5179" w:rsidP="00062CE6">
            <w:pPr>
              <w:pStyle w:val="TableRowCentered"/>
              <w:jc w:val="left"/>
              <w:rPr>
                <w:sz w:val="22"/>
              </w:rPr>
            </w:pPr>
            <w:r>
              <w:rPr>
                <w:sz w:val="22"/>
              </w:rPr>
              <w:t>1,3</w:t>
            </w:r>
          </w:p>
        </w:tc>
      </w:tr>
      <w:tr w:rsidR="00CA468F" w14:paraId="6E926CE8" w14:textId="77777777" w:rsidTr="00CC6E18">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9A9CE" w14:textId="77777777" w:rsidR="00062CE6" w:rsidRDefault="00062CE6" w:rsidP="0063417E">
            <w:pPr>
              <w:pStyle w:val="TableRow"/>
              <w:rPr>
                <w:rFonts w:cs="Arial"/>
                <w:sz w:val="20"/>
                <w:szCs w:val="20"/>
              </w:rPr>
            </w:pPr>
            <w:r w:rsidRPr="0022428B">
              <w:rPr>
                <w:rFonts w:cs="Arial"/>
                <w:sz w:val="20"/>
                <w:szCs w:val="20"/>
              </w:rPr>
              <w:t>Educational Visits</w:t>
            </w:r>
          </w:p>
          <w:p w14:paraId="4223B76F" w14:textId="70661EF5" w:rsidR="005456B5" w:rsidRPr="0022428B" w:rsidRDefault="000E71BE" w:rsidP="006D0FA9">
            <w:pPr>
              <w:pStyle w:val="TableRow"/>
              <w:rPr>
                <w:rFonts w:cs="Arial"/>
                <w:sz w:val="20"/>
                <w:szCs w:val="20"/>
              </w:rPr>
            </w:pPr>
            <w:r>
              <w:rPr>
                <w:rFonts w:cs="Arial"/>
                <w:sz w:val="20"/>
                <w:szCs w:val="20"/>
              </w:rPr>
              <w:t>£</w:t>
            </w:r>
            <w:r w:rsidR="00CC6E18">
              <w:rPr>
                <w:rFonts w:cs="Arial"/>
                <w:sz w:val="20"/>
                <w:szCs w:val="20"/>
              </w:rPr>
              <w:t>12,000</w:t>
            </w:r>
          </w:p>
        </w:tc>
        <w:tc>
          <w:tcPr>
            <w:tcW w:w="5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23955" w14:textId="77777777" w:rsidR="00062CE6" w:rsidRDefault="0022428B" w:rsidP="00062CE6">
            <w:pPr>
              <w:pStyle w:val="TableRowCentered"/>
              <w:jc w:val="left"/>
              <w:rPr>
                <w:rFonts w:cs="Arial"/>
                <w:color w:val="000000"/>
                <w:sz w:val="20"/>
              </w:rPr>
            </w:pPr>
            <w:r w:rsidRPr="0022428B">
              <w:rPr>
                <w:rFonts w:cs="Arial"/>
                <w:color w:val="000000"/>
                <w:sz w:val="20"/>
              </w:rPr>
              <w:t>All young people need the knowledge, skills and understanding to live in, and contribute to, a global society and this begins with an understanding of the world in which we live, including the languages, values and cultures of different societies.</w:t>
            </w:r>
            <w:r>
              <w:rPr>
                <w:rFonts w:cs="Arial"/>
                <w:color w:val="000000"/>
                <w:sz w:val="20"/>
              </w:rPr>
              <w:t xml:space="preserve"> For many of our pupils, this global society approach cannot be successful without </w:t>
            </w:r>
            <w:r w:rsidR="00C955FE">
              <w:rPr>
                <w:rFonts w:cs="Arial"/>
                <w:color w:val="000000"/>
                <w:sz w:val="20"/>
              </w:rPr>
              <w:t>first</w:t>
            </w:r>
            <w:r>
              <w:rPr>
                <w:rFonts w:cs="Arial"/>
                <w:color w:val="000000"/>
                <w:sz w:val="20"/>
              </w:rPr>
              <w:t xml:space="preserve"> them knowing their local knowledge – educational visits help to enrich their learning and perception of the world through first-hand experiences.</w:t>
            </w:r>
          </w:p>
          <w:p w14:paraId="6F40F1B1" w14:textId="53E12481" w:rsidR="00DE76A5" w:rsidRPr="0022428B" w:rsidRDefault="00DE76A5" w:rsidP="00062CE6">
            <w:pPr>
              <w:pStyle w:val="TableRowCentered"/>
              <w:jc w:val="left"/>
              <w:rPr>
                <w:rFonts w:cs="Arial"/>
                <w:sz w:val="20"/>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5015F" w14:textId="1F17407B" w:rsidR="00062CE6" w:rsidRDefault="00062CE6" w:rsidP="00062CE6">
            <w:pPr>
              <w:pStyle w:val="TableRowCentered"/>
              <w:jc w:val="left"/>
              <w:rPr>
                <w:sz w:val="22"/>
              </w:rPr>
            </w:pPr>
            <w:r>
              <w:rPr>
                <w:sz w:val="22"/>
              </w:rPr>
              <w:t>1,2,3,4</w:t>
            </w:r>
            <w:r w:rsidR="007A1849">
              <w:rPr>
                <w:sz w:val="22"/>
              </w:rPr>
              <w:t>,</w:t>
            </w:r>
          </w:p>
        </w:tc>
      </w:tr>
      <w:tr w:rsidR="00CA468F" w14:paraId="3946E185" w14:textId="77777777" w:rsidTr="00CC6E18">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80D57" w14:textId="6BD295DB" w:rsidR="00CC6E18" w:rsidRDefault="00CC6E18" w:rsidP="00062CE6">
            <w:pPr>
              <w:pStyle w:val="TableRow"/>
              <w:rPr>
                <w:rFonts w:cs="Arial"/>
                <w:sz w:val="20"/>
                <w:szCs w:val="20"/>
              </w:rPr>
            </w:pPr>
            <w:r>
              <w:rPr>
                <w:rFonts w:cs="Arial"/>
                <w:sz w:val="20"/>
                <w:szCs w:val="20"/>
              </w:rPr>
              <w:t>School Gardener and outdoor learning</w:t>
            </w:r>
          </w:p>
          <w:p w14:paraId="3CA2377F" w14:textId="1C7FB12B" w:rsidR="00CC6E18" w:rsidRPr="0022428B" w:rsidRDefault="00CC6E18" w:rsidP="00062CE6">
            <w:pPr>
              <w:pStyle w:val="TableRow"/>
              <w:rPr>
                <w:rFonts w:cs="Arial"/>
                <w:sz w:val="20"/>
                <w:szCs w:val="20"/>
              </w:rPr>
            </w:pPr>
            <w:r>
              <w:rPr>
                <w:rFonts w:cs="Arial"/>
                <w:sz w:val="20"/>
                <w:szCs w:val="20"/>
              </w:rPr>
              <w:t>£6,000</w:t>
            </w:r>
          </w:p>
        </w:tc>
        <w:tc>
          <w:tcPr>
            <w:tcW w:w="5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A0053" w14:textId="761C28FC" w:rsidR="00CC6E18" w:rsidRPr="00CC6E18" w:rsidRDefault="00CC6E18" w:rsidP="00CA468F">
            <w:pPr>
              <w:pStyle w:val="TableRowCentered"/>
              <w:jc w:val="left"/>
              <w:rPr>
                <w:rFonts w:cs="Arial"/>
                <w:color w:val="000000"/>
                <w:sz w:val="20"/>
              </w:rPr>
            </w:pPr>
            <w:r w:rsidRPr="00CC6E18">
              <w:rPr>
                <w:rFonts w:cs="Arial"/>
                <w:color w:val="000000"/>
                <w:sz w:val="20"/>
              </w:rPr>
              <w:t>Children from Y2-6 have been attending weekly sessions to help them develop environmental understanding as well as social and emotional skills</w:t>
            </w:r>
            <w:r w:rsidR="00CA468F">
              <w:rPr>
                <w:rFonts w:cs="Arial"/>
                <w:color w:val="000000"/>
                <w:sz w:val="20"/>
              </w:rPr>
              <w:t xml:space="preserve">. </w:t>
            </w:r>
            <w:r w:rsidRPr="00CC6E18">
              <w:rPr>
                <w:rFonts w:cs="Arial"/>
                <w:color w:val="000000"/>
                <w:sz w:val="20"/>
              </w:rPr>
              <w:t>Generally, children to</w:t>
            </w:r>
            <w:r w:rsidR="00CA468F">
              <w:rPr>
                <w:rFonts w:cs="Arial"/>
                <w:color w:val="000000"/>
                <w:sz w:val="20"/>
              </w:rPr>
              <w:t xml:space="preserve"> choose what they would like to </w:t>
            </w:r>
            <w:r w:rsidRPr="00CC6E18">
              <w:rPr>
                <w:rFonts w:cs="Arial"/>
                <w:color w:val="000000"/>
                <w:sz w:val="20"/>
              </w:rPr>
              <w:t>do, from a range of activities. The general session plan is:</w:t>
            </w:r>
          </w:p>
          <w:p w14:paraId="621B3828" w14:textId="77777777" w:rsidR="00CC6E18" w:rsidRPr="00CC6E18" w:rsidRDefault="00CC6E18" w:rsidP="00CC6E18">
            <w:pPr>
              <w:pStyle w:val="TableRowCentered"/>
              <w:jc w:val="left"/>
              <w:rPr>
                <w:rFonts w:cs="Arial"/>
                <w:color w:val="000000"/>
                <w:sz w:val="20"/>
              </w:rPr>
            </w:pPr>
            <w:r w:rsidRPr="00CC6E18">
              <w:rPr>
                <w:rFonts w:cs="Arial"/>
                <w:color w:val="000000"/>
                <w:sz w:val="20"/>
              </w:rPr>
              <w:t>- circle activity where each person says one thing they have done or enjoyed in the outdoor area</w:t>
            </w:r>
          </w:p>
          <w:p w14:paraId="494645B9" w14:textId="77777777" w:rsidR="00CC6E18" w:rsidRPr="00CC6E18" w:rsidRDefault="00CC6E18" w:rsidP="00CC6E18">
            <w:pPr>
              <w:pStyle w:val="TableRowCentered"/>
              <w:jc w:val="left"/>
              <w:rPr>
                <w:rFonts w:cs="Arial"/>
                <w:color w:val="000000"/>
                <w:sz w:val="20"/>
              </w:rPr>
            </w:pPr>
            <w:r w:rsidRPr="00CC6E18">
              <w:rPr>
                <w:rFonts w:cs="Arial"/>
                <w:color w:val="000000"/>
                <w:sz w:val="20"/>
              </w:rPr>
              <w:t>- quick exploration of the area to identify changes, work that needs to be done or opportunities</w:t>
            </w:r>
          </w:p>
          <w:p w14:paraId="27EDB954" w14:textId="77777777" w:rsidR="00CC6E18" w:rsidRPr="00CC6E18" w:rsidRDefault="00CC6E18" w:rsidP="00CC6E18">
            <w:pPr>
              <w:pStyle w:val="TableRowCentered"/>
              <w:jc w:val="left"/>
              <w:rPr>
                <w:rFonts w:cs="Arial"/>
                <w:color w:val="000000"/>
                <w:sz w:val="20"/>
              </w:rPr>
            </w:pPr>
            <w:r w:rsidRPr="00CC6E18">
              <w:rPr>
                <w:rFonts w:cs="Arial"/>
                <w:color w:val="000000"/>
                <w:sz w:val="20"/>
              </w:rPr>
              <w:t>- children choose what they would like to do, staff support</w:t>
            </w:r>
          </w:p>
          <w:p w14:paraId="579C7FEF" w14:textId="3D3FAC5C" w:rsidR="00CC6E18" w:rsidRDefault="00CC6E18" w:rsidP="00CC6E18">
            <w:pPr>
              <w:pStyle w:val="TableRowCentered"/>
              <w:jc w:val="left"/>
              <w:rPr>
                <w:rFonts w:cs="Arial"/>
                <w:color w:val="000000"/>
                <w:sz w:val="20"/>
              </w:rPr>
            </w:pPr>
            <w:r w:rsidRPr="00CC6E18">
              <w:rPr>
                <w:rFonts w:cs="Arial"/>
                <w:color w:val="000000"/>
                <w:sz w:val="20"/>
              </w:rPr>
              <w:t>- circle activity where each person says one thing they have done or enjoyed today</w:t>
            </w:r>
          </w:p>
          <w:p w14:paraId="4EC41DE9" w14:textId="77777777" w:rsidR="00CA468F" w:rsidRDefault="00CA468F" w:rsidP="00CC6E18">
            <w:pPr>
              <w:pStyle w:val="TableRowCentered"/>
              <w:jc w:val="left"/>
              <w:rPr>
                <w:rFonts w:cs="Arial"/>
                <w:color w:val="000000"/>
                <w:sz w:val="20"/>
              </w:rPr>
            </w:pPr>
          </w:p>
          <w:p w14:paraId="555DF149" w14:textId="46F35773" w:rsidR="00CC6E18" w:rsidRDefault="00CC6E18" w:rsidP="00CC6E18">
            <w:pPr>
              <w:pStyle w:val="TableRowCentered"/>
              <w:jc w:val="left"/>
              <w:rPr>
                <w:rFonts w:cs="Arial"/>
                <w:color w:val="000000"/>
                <w:sz w:val="20"/>
              </w:rPr>
            </w:pPr>
            <w:r>
              <w:rPr>
                <w:rFonts w:cs="Arial"/>
                <w:color w:val="000000"/>
                <w:sz w:val="20"/>
              </w:rPr>
              <w:t>Evidence:</w:t>
            </w:r>
          </w:p>
          <w:p w14:paraId="006E9F03" w14:textId="77777777" w:rsidR="00CC6E18" w:rsidRDefault="00CC6E18" w:rsidP="00CC6E18">
            <w:pPr>
              <w:pStyle w:val="TableRowCentered"/>
              <w:jc w:val="left"/>
              <w:rPr>
                <w:rFonts w:cs="Arial"/>
                <w:color w:val="000000"/>
                <w:sz w:val="20"/>
              </w:rPr>
            </w:pPr>
          </w:p>
          <w:p w14:paraId="307F6ED1" w14:textId="72DC99B2" w:rsidR="00CC6E18" w:rsidRPr="00CC6E18" w:rsidRDefault="00CC6E18" w:rsidP="00CC6E18">
            <w:pPr>
              <w:pStyle w:val="TableRowCentered"/>
              <w:jc w:val="left"/>
              <w:rPr>
                <w:rFonts w:cs="Arial"/>
                <w:color w:val="000000"/>
                <w:sz w:val="20"/>
              </w:rPr>
            </w:pPr>
            <w:r>
              <w:rPr>
                <w:noProof/>
              </w:rPr>
              <w:drawing>
                <wp:inline distT="0" distB="0" distL="0" distR="0" wp14:anchorId="14013F06" wp14:editId="5E50509C">
                  <wp:extent cx="4015599" cy="388620"/>
                  <wp:effectExtent l="0" t="0" r="444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033103" cy="390314"/>
                          </a:xfrm>
                          <a:prstGeom prst="rect">
                            <a:avLst/>
                          </a:prstGeom>
                        </pic:spPr>
                      </pic:pic>
                    </a:graphicData>
                  </a:graphic>
                </wp:inline>
              </w:drawing>
            </w:r>
          </w:p>
          <w:p w14:paraId="3637D483" w14:textId="6E8FF559" w:rsidR="00CC6E18" w:rsidRPr="0022428B" w:rsidRDefault="00CC6E18" w:rsidP="00062CE6">
            <w:pPr>
              <w:pStyle w:val="TableRowCentered"/>
              <w:jc w:val="left"/>
              <w:rPr>
                <w:rFonts w:cs="Arial"/>
                <w:color w:val="000000"/>
                <w:sz w:val="20"/>
              </w:rPr>
            </w:pPr>
            <w:r w:rsidRPr="00CC6E18">
              <w:rPr>
                <w:rFonts w:cs="Arial"/>
                <w:color w:val="000000"/>
                <w:sz w:val="20"/>
              </w:rPr>
              <w:t>A collaborative (or cooperative) learning approach involves pupils working together on activities or learning tasks in a group small enough to ensure that everyone participates. Pupils in the group may work on separate tasks contributing to a common overall outcome, or work together on a shared task. This is distinct from unstructured group work.</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0631C" w14:textId="4814F309" w:rsidR="00CC6E18" w:rsidRDefault="00CA468F" w:rsidP="00062CE6">
            <w:pPr>
              <w:pStyle w:val="TableRowCentered"/>
              <w:jc w:val="left"/>
              <w:rPr>
                <w:sz w:val="22"/>
              </w:rPr>
            </w:pPr>
            <w:r>
              <w:rPr>
                <w:sz w:val="22"/>
              </w:rPr>
              <w:t>1,3,4</w:t>
            </w:r>
          </w:p>
        </w:tc>
      </w:tr>
      <w:tr w:rsidR="00CA468F" w14:paraId="1D6FCE74" w14:textId="77777777" w:rsidTr="00CC6E18">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84E5D" w14:textId="77777777" w:rsidR="00CA468F" w:rsidRDefault="00CA468F" w:rsidP="00062CE6">
            <w:pPr>
              <w:pStyle w:val="TableRow"/>
              <w:rPr>
                <w:rFonts w:cs="Arial"/>
                <w:sz w:val="20"/>
                <w:szCs w:val="20"/>
              </w:rPr>
            </w:pPr>
            <w:r>
              <w:rPr>
                <w:rFonts w:cs="Arial"/>
                <w:sz w:val="20"/>
                <w:szCs w:val="20"/>
              </w:rPr>
              <w:t>Family Support Worker 1 day per week</w:t>
            </w:r>
          </w:p>
          <w:p w14:paraId="6E181A3F" w14:textId="0ACD3C47" w:rsidR="00CA468F" w:rsidRDefault="00CA468F" w:rsidP="00062CE6">
            <w:pPr>
              <w:pStyle w:val="TableRow"/>
              <w:rPr>
                <w:rFonts w:cs="Arial"/>
                <w:sz w:val="20"/>
                <w:szCs w:val="20"/>
              </w:rPr>
            </w:pPr>
            <w:r>
              <w:rPr>
                <w:rFonts w:cs="Arial"/>
                <w:sz w:val="20"/>
                <w:szCs w:val="20"/>
              </w:rPr>
              <w:t>£</w:t>
            </w:r>
            <w:r w:rsidR="006942B9">
              <w:rPr>
                <w:rFonts w:cs="Arial"/>
                <w:sz w:val="20"/>
                <w:szCs w:val="20"/>
              </w:rPr>
              <w:t>6,435</w:t>
            </w:r>
          </w:p>
        </w:tc>
        <w:tc>
          <w:tcPr>
            <w:tcW w:w="5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A58F8" w14:textId="3188E226" w:rsidR="00CA468F" w:rsidRDefault="00CA468F" w:rsidP="00CA468F">
            <w:pPr>
              <w:pStyle w:val="TableRowCentered"/>
              <w:jc w:val="left"/>
              <w:rPr>
                <w:rFonts w:cs="Arial"/>
                <w:color w:val="000000"/>
                <w:sz w:val="20"/>
              </w:rPr>
            </w:pPr>
            <w:r>
              <w:rPr>
                <w:rFonts w:cs="Arial"/>
                <w:color w:val="000000"/>
                <w:sz w:val="20"/>
              </w:rPr>
              <w:t>One day a week Family Support Worker working specifically with disadvantaged families across a whole range of issues and challenges:</w:t>
            </w:r>
          </w:p>
          <w:p w14:paraId="746F0067" w14:textId="652BA236" w:rsidR="00CA468F" w:rsidRPr="00CA468F" w:rsidRDefault="00CA468F" w:rsidP="00CA468F">
            <w:pPr>
              <w:pStyle w:val="TableRowCentered"/>
              <w:numPr>
                <w:ilvl w:val="0"/>
                <w:numId w:val="27"/>
              </w:numPr>
              <w:jc w:val="left"/>
              <w:rPr>
                <w:rFonts w:cs="Arial"/>
                <w:color w:val="000000"/>
                <w:sz w:val="20"/>
              </w:rPr>
            </w:pPr>
            <w:r w:rsidRPr="00CA468F">
              <w:rPr>
                <w:rFonts w:cs="Arial"/>
                <w:color w:val="000000"/>
                <w:sz w:val="20"/>
              </w:rPr>
              <w:t>Food bank</w:t>
            </w:r>
            <w:r>
              <w:rPr>
                <w:rFonts w:cs="Arial"/>
                <w:color w:val="000000"/>
                <w:sz w:val="20"/>
              </w:rPr>
              <w:t>s</w:t>
            </w:r>
          </w:p>
          <w:p w14:paraId="616F6C8C" w14:textId="77777777" w:rsidR="00CA468F" w:rsidRPr="00CA468F" w:rsidRDefault="00CA468F" w:rsidP="00CA468F">
            <w:pPr>
              <w:pStyle w:val="TableRowCentered"/>
              <w:numPr>
                <w:ilvl w:val="0"/>
                <w:numId w:val="27"/>
              </w:numPr>
              <w:jc w:val="left"/>
              <w:rPr>
                <w:rFonts w:cs="Arial"/>
                <w:color w:val="000000"/>
                <w:sz w:val="20"/>
              </w:rPr>
            </w:pPr>
            <w:r w:rsidRPr="00CA468F">
              <w:rPr>
                <w:rFonts w:cs="Arial"/>
                <w:color w:val="000000"/>
                <w:sz w:val="20"/>
              </w:rPr>
              <w:t>Housing</w:t>
            </w:r>
          </w:p>
          <w:p w14:paraId="0AA41DE4" w14:textId="77777777" w:rsidR="00CA468F" w:rsidRPr="00CA468F" w:rsidRDefault="00CA468F" w:rsidP="00CA468F">
            <w:pPr>
              <w:pStyle w:val="TableRowCentered"/>
              <w:numPr>
                <w:ilvl w:val="0"/>
                <w:numId w:val="27"/>
              </w:numPr>
              <w:jc w:val="left"/>
              <w:rPr>
                <w:rFonts w:cs="Arial"/>
                <w:color w:val="000000"/>
                <w:sz w:val="20"/>
              </w:rPr>
            </w:pPr>
            <w:r w:rsidRPr="00CA468F">
              <w:rPr>
                <w:rFonts w:cs="Arial"/>
                <w:color w:val="000000"/>
                <w:sz w:val="20"/>
              </w:rPr>
              <w:t>Benefits</w:t>
            </w:r>
          </w:p>
          <w:p w14:paraId="551B5DF0" w14:textId="77777777" w:rsidR="00CA468F" w:rsidRPr="00CA468F" w:rsidRDefault="00CA468F" w:rsidP="00CA468F">
            <w:pPr>
              <w:pStyle w:val="TableRowCentered"/>
              <w:numPr>
                <w:ilvl w:val="0"/>
                <w:numId w:val="27"/>
              </w:numPr>
              <w:jc w:val="left"/>
              <w:rPr>
                <w:rFonts w:cs="Arial"/>
                <w:color w:val="000000"/>
                <w:sz w:val="20"/>
              </w:rPr>
            </w:pPr>
            <w:r w:rsidRPr="00CA468F">
              <w:rPr>
                <w:rFonts w:cs="Arial"/>
                <w:color w:val="000000"/>
                <w:sz w:val="20"/>
              </w:rPr>
              <w:t>General school level support and interventions</w:t>
            </w:r>
          </w:p>
          <w:p w14:paraId="15EF9D2D" w14:textId="4595B94E" w:rsidR="00CA468F" w:rsidRPr="00CA468F" w:rsidRDefault="00CA468F" w:rsidP="00CA468F">
            <w:pPr>
              <w:pStyle w:val="TableRowCentered"/>
              <w:numPr>
                <w:ilvl w:val="0"/>
                <w:numId w:val="27"/>
              </w:numPr>
              <w:jc w:val="left"/>
              <w:rPr>
                <w:rFonts w:cs="Arial"/>
                <w:color w:val="000000"/>
                <w:sz w:val="20"/>
              </w:rPr>
            </w:pPr>
            <w:r w:rsidRPr="00CA468F">
              <w:rPr>
                <w:rFonts w:cs="Arial"/>
                <w:color w:val="000000"/>
                <w:sz w:val="20"/>
              </w:rPr>
              <w:t>White good</w:t>
            </w:r>
            <w:r>
              <w:rPr>
                <w:rFonts w:cs="Arial"/>
                <w:color w:val="000000"/>
                <w:sz w:val="20"/>
              </w:rPr>
              <w:t>s</w:t>
            </w:r>
            <w:r w:rsidRPr="00CA468F">
              <w:rPr>
                <w:rFonts w:cs="Arial"/>
                <w:color w:val="000000"/>
                <w:sz w:val="20"/>
              </w:rPr>
              <w:t xml:space="preserve"> scheme</w:t>
            </w:r>
          </w:p>
          <w:p w14:paraId="246D8AC9" w14:textId="77777777" w:rsidR="00CA468F" w:rsidRPr="00CA468F" w:rsidRDefault="00CA468F" w:rsidP="00CA468F">
            <w:pPr>
              <w:pStyle w:val="TableRowCentered"/>
              <w:numPr>
                <w:ilvl w:val="0"/>
                <w:numId w:val="27"/>
              </w:numPr>
              <w:jc w:val="left"/>
              <w:rPr>
                <w:rFonts w:cs="Arial"/>
                <w:color w:val="000000"/>
                <w:sz w:val="20"/>
              </w:rPr>
            </w:pPr>
            <w:r w:rsidRPr="00CA468F">
              <w:rPr>
                <w:rFonts w:cs="Arial"/>
                <w:color w:val="000000"/>
                <w:sz w:val="20"/>
              </w:rPr>
              <w:t>No recourse to public funds families</w:t>
            </w:r>
          </w:p>
          <w:p w14:paraId="53715418" w14:textId="77777777" w:rsidR="00CA468F" w:rsidRDefault="00CA468F" w:rsidP="00CA468F">
            <w:pPr>
              <w:pStyle w:val="TableRowCentered"/>
              <w:ind w:left="0"/>
              <w:jc w:val="left"/>
              <w:rPr>
                <w:rFonts w:cs="Arial"/>
                <w:color w:val="000000"/>
                <w:sz w:val="20"/>
              </w:rPr>
            </w:pPr>
          </w:p>
          <w:p w14:paraId="6B58AAF6" w14:textId="7522CF22" w:rsidR="00CA468F" w:rsidRDefault="00CA468F" w:rsidP="00CA468F">
            <w:pPr>
              <w:pStyle w:val="TableRowCentered"/>
              <w:ind w:left="0"/>
              <w:jc w:val="left"/>
              <w:rPr>
                <w:rFonts w:cs="Arial"/>
                <w:color w:val="000000"/>
                <w:sz w:val="20"/>
              </w:rPr>
            </w:pPr>
            <w:r>
              <w:rPr>
                <w:rFonts w:cs="Arial"/>
                <w:color w:val="000000"/>
                <w:sz w:val="20"/>
              </w:rPr>
              <w:t>Evidence:</w:t>
            </w:r>
          </w:p>
          <w:p w14:paraId="1B17CCBF" w14:textId="77777777" w:rsidR="00CA468F" w:rsidRDefault="00CA468F" w:rsidP="00CA468F">
            <w:pPr>
              <w:pStyle w:val="TableRowCentered"/>
              <w:ind w:left="0"/>
              <w:jc w:val="left"/>
              <w:rPr>
                <w:rFonts w:cs="Arial"/>
                <w:color w:val="000000"/>
                <w:sz w:val="20"/>
              </w:rPr>
            </w:pPr>
          </w:p>
          <w:p w14:paraId="4AFBE5C3" w14:textId="77777777" w:rsidR="00CA468F" w:rsidRDefault="00CA468F" w:rsidP="00CA468F">
            <w:pPr>
              <w:pStyle w:val="TableRowCentered"/>
              <w:ind w:left="0"/>
              <w:jc w:val="left"/>
              <w:rPr>
                <w:rFonts w:cs="Arial"/>
                <w:color w:val="000000"/>
                <w:sz w:val="20"/>
              </w:rPr>
            </w:pPr>
            <w:r>
              <w:rPr>
                <w:noProof/>
              </w:rPr>
              <w:drawing>
                <wp:inline distT="0" distB="0" distL="0" distR="0" wp14:anchorId="7456C14D" wp14:editId="796BFD28">
                  <wp:extent cx="4023360" cy="30675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139454" cy="315603"/>
                          </a:xfrm>
                          <a:prstGeom prst="rect">
                            <a:avLst/>
                          </a:prstGeom>
                        </pic:spPr>
                      </pic:pic>
                    </a:graphicData>
                  </a:graphic>
                </wp:inline>
              </w:drawing>
            </w:r>
          </w:p>
          <w:p w14:paraId="0327C9A7" w14:textId="30F3FF38" w:rsidR="00CA468F" w:rsidRPr="00CA468F" w:rsidRDefault="00CA468F" w:rsidP="00CA468F">
            <w:pPr>
              <w:pStyle w:val="TableRowCentered"/>
              <w:ind w:left="0"/>
              <w:jc w:val="left"/>
              <w:rPr>
                <w:rFonts w:cs="Arial"/>
                <w:color w:val="000000"/>
                <w:sz w:val="20"/>
              </w:rPr>
            </w:pPr>
            <w:r w:rsidRPr="00CA468F">
              <w:rPr>
                <w:rFonts w:cs="Arial"/>
                <w:color w:val="000000"/>
                <w:sz w:val="20"/>
              </w:rPr>
              <w:br/>
              <w:t xml:space="preserve">Parental engagement refers to teachers and schools involving parents in supporting their children’s academic learning </w:t>
            </w:r>
            <w:r>
              <w:rPr>
                <w:rFonts w:cs="Arial"/>
                <w:color w:val="000000"/>
                <w:sz w:val="20"/>
              </w:rPr>
              <w:t>which includes</w:t>
            </w:r>
            <w:r w:rsidRPr="00CA468F">
              <w:rPr>
                <w:rFonts w:cs="Arial"/>
                <w:color w:val="000000"/>
                <w:sz w:val="20"/>
              </w:rPr>
              <w:t xml:space="preserve"> more intensive programmes for families in crisis.</w:t>
            </w:r>
          </w:p>
          <w:p w14:paraId="2DB3D441" w14:textId="2F67DBDC" w:rsidR="00CA468F" w:rsidRPr="00CC6E18" w:rsidRDefault="00CA468F" w:rsidP="00CA468F">
            <w:pPr>
              <w:pStyle w:val="TableRowCentered"/>
              <w:jc w:val="left"/>
              <w:rPr>
                <w:rFonts w:cs="Arial"/>
                <w:color w:val="000000"/>
                <w:sz w:val="20"/>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294B5" w14:textId="73FEF7EA" w:rsidR="00CA468F" w:rsidRDefault="00CA468F" w:rsidP="00062CE6">
            <w:pPr>
              <w:pStyle w:val="TableRowCentered"/>
              <w:jc w:val="left"/>
              <w:rPr>
                <w:sz w:val="22"/>
              </w:rPr>
            </w:pPr>
            <w:r>
              <w:rPr>
                <w:sz w:val="22"/>
              </w:rPr>
              <w:t>1,2,3,4</w:t>
            </w:r>
          </w:p>
        </w:tc>
      </w:tr>
    </w:tbl>
    <w:p w14:paraId="2A7D5540" w14:textId="77777777" w:rsidR="00E66558" w:rsidRDefault="00E66558">
      <w:pPr>
        <w:spacing w:before="240" w:after="0"/>
        <w:rPr>
          <w:b/>
          <w:bCs/>
          <w:color w:val="104F75"/>
          <w:sz w:val="28"/>
          <w:szCs w:val="28"/>
        </w:rPr>
      </w:pPr>
    </w:p>
    <w:p w14:paraId="2A7D5541" w14:textId="5EFFD370" w:rsidR="00E66558" w:rsidRDefault="009D71E8" w:rsidP="00120AB1">
      <w:r>
        <w:rPr>
          <w:b/>
          <w:bCs/>
          <w:color w:val="104F75"/>
          <w:sz w:val="28"/>
          <w:szCs w:val="28"/>
        </w:rPr>
        <w:t xml:space="preserve">Total budgeted cost: £ </w:t>
      </w:r>
      <w:r w:rsidR="006942B9">
        <w:rPr>
          <w:b/>
          <w:bCs/>
          <w:color w:val="104F75"/>
          <w:sz w:val="28"/>
          <w:szCs w:val="28"/>
        </w:rPr>
        <w:t>337,649</w:t>
      </w:r>
    </w:p>
    <w:p w14:paraId="2A7D5542" w14:textId="77777777" w:rsidR="00E66558" w:rsidRDefault="009D71E8">
      <w:pPr>
        <w:pStyle w:val="Heading1"/>
      </w:pPr>
      <w:r>
        <w:t>Part B: Review of outcomes in the previous academic year</w:t>
      </w:r>
    </w:p>
    <w:p w14:paraId="2A7D5543" w14:textId="77777777" w:rsidR="00E66558" w:rsidRDefault="009D71E8">
      <w:pPr>
        <w:pStyle w:val="Heading2"/>
      </w:pPr>
      <w:r>
        <w:t>Pupil premium strategy outcomes</w:t>
      </w:r>
    </w:p>
    <w:p w14:paraId="2A7D5544" w14:textId="01FD535E" w:rsidR="00E66558" w:rsidRDefault="009D71E8">
      <w:r>
        <w:t>This details the impact that our pupil premium ac</w:t>
      </w:r>
      <w:r w:rsidR="00723FF5">
        <w:t xml:space="preserve">tivity had on pupils in the 2021 to 2022 </w:t>
      </w:r>
      <w:r>
        <w:t xml:space="preserve">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E985D" w14:textId="77777777" w:rsidR="006910DC" w:rsidRPr="006910DC" w:rsidRDefault="006910DC" w:rsidP="006910DC">
            <w:pPr>
              <w:rPr>
                <w:rFonts w:cstheme="minorHAnsi"/>
                <w:b/>
                <w:u w:val="single"/>
              </w:rPr>
            </w:pPr>
            <w:r w:rsidRPr="006910DC">
              <w:rPr>
                <w:rFonts w:cstheme="minorHAnsi"/>
                <w:b/>
                <w:u w:val="single"/>
              </w:rPr>
              <w:t>Review of 2022-223</w:t>
            </w:r>
          </w:p>
          <w:p w14:paraId="7217E141" w14:textId="77777777" w:rsidR="006910DC" w:rsidRPr="006910DC" w:rsidRDefault="006910DC" w:rsidP="006910DC">
            <w:pPr>
              <w:rPr>
                <w:rFonts w:cstheme="minorHAnsi"/>
                <w:b/>
              </w:rPr>
            </w:pPr>
            <w:r w:rsidRPr="006910DC">
              <w:rPr>
                <w:rFonts w:cstheme="minorHAnsi"/>
                <w:b/>
              </w:rPr>
              <w:t>Positives</w:t>
            </w:r>
          </w:p>
          <w:p w14:paraId="192960AB" w14:textId="77777777" w:rsidR="006910DC" w:rsidRPr="006910DC" w:rsidRDefault="006910DC" w:rsidP="006910DC">
            <w:pPr>
              <w:pStyle w:val="ListParagraph"/>
              <w:numPr>
                <w:ilvl w:val="0"/>
                <w:numId w:val="22"/>
              </w:numPr>
              <w:suppressAutoHyphens w:val="0"/>
              <w:autoSpaceDN/>
              <w:spacing w:after="160" w:line="259" w:lineRule="auto"/>
              <w:rPr>
                <w:rFonts w:cstheme="minorHAnsi"/>
              </w:rPr>
            </w:pPr>
            <w:r w:rsidRPr="006910DC">
              <w:rPr>
                <w:rFonts w:cstheme="minorHAnsi"/>
              </w:rPr>
              <w:t>The profile of PPQ children across the school increased:</w:t>
            </w:r>
          </w:p>
          <w:p w14:paraId="636E42E1" w14:textId="77777777" w:rsidR="006910DC" w:rsidRPr="006910DC" w:rsidRDefault="006910DC" w:rsidP="006910DC">
            <w:pPr>
              <w:pStyle w:val="ListParagraph"/>
              <w:numPr>
                <w:ilvl w:val="0"/>
                <w:numId w:val="23"/>
              </w:numPr>
              <w:suppressAutoHyphens w:val="0"/>
              <w:autoSpaceDN/>
              <w:spacing w:after="160" w:line="259" w:lineRule="auto"/>
              <w:rPr>
                <w:rFonts w:cstheme="minorHAnsi"/>
              </w:rPr>
            </w:pPr>
            <w:r w:rsidRPr="006910DC">
              <w:rPr>
                <w:rFonts w:cstheme="minorHAnsi"/>
              </w:rPr>
              <w:t>class teachers were much more aware of who the PPQ children were in their class</w:t>
            </w:r>
          </w:p>
          <w:p w14:paraId="1808ABE0" w14:textId="77777777" w:rsidR="006910DC" w:rsidRPr="006910DC" w:rsidRDefault="006910DC" w:rsidP="006910DC">
            <w:pPr>
              <w:pStyle w:val="ListParagraph"/>
              <w:numPr>
                <w:ilvl w:val="0"/>
                <w:numId w:val="23"/>
              </w:numPr>
              <w:suppressAutoHyphens w:val="0"/>
              <w:autoSpaceDN/>
              <w:spacing w:after="160" w:line="259" w:lineRule="auto"/>
              <w:rPr>
                <w:rFonts w:cstheme="minorHAnsi"/>
              </w:rPr>
            </w:pPr>
            <w:r w:rsidRPr="006910DC">
              <w:rPr>
                <w:rFonts w:cstheme="minorHAnsi"/>
              </w:rPr>
              <w:t>LSAs were much more aware of who the PPQ children in their class were</w:t>
            </w:r>
          </w:p>
          <w:p w14:paraId="1FB666B3" w14:textId="77777777" w:rsidR="006910DC" w:rsidRPr="006910DC" w:rsidRDefault="006910DC" w:rsidP="006910DC">
            <w:pPr>
              <w:pStyle w:val="ListParagraph"/>
              <w:numPr>
                <w:ilvl w:val="0"/>
                <w:numId w:val="22"/>
              </w:numPr>
              <w:suppressAutoHyphens w:val="0"/>
              <w:autoSpaceDN/>
              <w:spacing w:after="160" w:line="259" w:lineRule="auto"/>
              <w:rPr>
                <w:rFonts w:cstheme="minorHAnsi"/>
              </w:rPr>
            </w:pPr>
            <w:r w:rsidRPr="006910DC">
              <w:rPr>
                <w:rFonts w:cstheme="minorHAnsi"/>
              </w:rPr>
              <w:t>Observation cycles focussed on PPQ children in each term. The key foci were PPQ children in these observations were:</w:t>
            </w:r>
          </w:p>
          <w:p w14:paraId="338EAEF4" w14:textId="77777777" w:rsidR="006910DC" w:rsidRPr="006910DC" w:rsidRDefault="006910DC" w:rsidP="006910DC">
            <w:pPr>
              <w:pStyle w:val="ListParagraph"/>
              <w:numPr>
                <w:ilvl w:val="0"/>
                <w:numId w:val="24"/>
              </w:numPr>
              <w:suppressAutoHyphens w:val="0"/>
              <w:autoSpaceDN/>
              <w:spacing w:after="160" w:line="259" w:lineRule="auto"/>
              <w:rPr>
                <w:rFonts w:cstheme="minorHAnsi"/>
              </w:rPr>
            </w:pPr>
            <w:r w:rsidRPr="006910DC">
              <w:rPr>
                <w:rFonts w:cstheme="minorHAnsi"/>
              </w:rPr>
              <w:t>Is the work set for the PPQ pupils ambitious and appropriate?</w:t>
            </w:r>
          </w:p>
          <w:p w14:paraId="03DA9CE3" w14:textId="77777777" w:rsidR="006910DC" w:rsidRPr="006910DC" w:rsidRDefault="006910DC" w:rsidP="006910DC">
            <w:pPr>
              <w:pStyle w:val="ListParagraph"/>
              <w:numPr>
                <w:ilvl w:val="0"/>
                <w:numId w:val="24"/>
              </w:numPr>
              <w:suppressAutoHyphens w:val="0"/>
              <w:autoSpaceDN/>
              <w:spacing w:after="160" w:line="259" w:lineRule="auto"/>
              <w:rPr>
                <w:rFonts w:cstheme="minorHAnsi"/>
              </w:rPr>
            </w:pPr>
            <w:r w:rsidRPr="006910DC">
              <w:rPr>
                <w:rFonts w:cstheme="minorHAnsi"/>
              </w:rPr>
              <w:t>What feedback do the PPQ children receive in class?</w:t>
            </w:r>
          </w:p>
          <w:p w14:paraId="74C1668F" w14:textId="77777777" w:rsidR="006910DC" w:rsidRPr="006910DC" w:rsidRDefault="006910DC" w:rsidP="006910DC">
            <w:pPr>
              <w:pStyle w:val="ListParagraph"/>
              <w:numPr>
                <w:ilvl w:val="0"/>
                <w:numId w:val="24"/>
              </w:numPr>
              <w:suppressAutoHyphens w:val="0"/>
              <w:autoSpaceDN/>
              <w:spacing w:after="160" w:line="259" w:lineRule="auto"/>
              <w:rPr>
                <w:rFonts w:cstheme="minorHAnsi"/>
              </w:rPr>
            </w:pPr>
            <w:r w:rsidRPr="006910DC">
              <w:rPr>
                <w:rFonts w:cstheme="minorHAnsi"/>
              </w:rPr>
              <w:t>Are the PPQ children actively engaging in their learning?</w:t>
            </w:r>
          </w:p>
          <w:p w14:paraId="3A8881B2" w14:textId="77777777" w:rsidR="006910DC" w:rsidRPr="006910DC" w:rsidRDefault="006910DC" w:rsidP="006910DC">
            <w:pPr>
              <w:pStyle w:val="ListParagraph"/>
              <w:numPr>
                <w:ilvl w:val="0"/>
                <w:numId w:val="22"/>
              </w:numPr>
              <w:suppressAutoHyphens w:val="0"/>
              <w:autoSpaceDN/>
              <w:spacing w:after="160" w:line="259" w:lineRule="auto"/>
              <w:rPr>
                <w:rFonts w:cstheme="minorHAnsi"/>
              </w:rPr>
            </w:pPr>
            <w:r w:rsidRPr="006910DC">
              <w:rPr>
                <w:rFonts w:cstheme="minorHAnsi"/>
              </w:rPr>
              <w:t>Pupil voice provided from the observation cycles showed PPQ enjoy school and are engaged in their learning and were able to reflect on what they have improved on and why</w:t>
            </w:r>
          </w:p>
          <w:p w14:paraId="21E46C59" w14:textId="77777777" w:rsidR="006910DC" w:rsidRPr="006910DC" w:rsidRDefault="006910DC" w:rsidP="006910DC">
            <w:pPr>
              <w:pStyle w:val="ListParagraph"/>
              <w:numPr>
                <w:ilvl w:val="0"/>
                <w:numId w:val="22"/>
              </w:numPr>
              <w:suppressAutoHyphens w:val="0"/>
              <w:autoSpaceDN/>
              <w:spacing w:after="160" w:line="259" w:lineRule="auto"/>
              <w:rPr>
                <w:rFonts w:cstheme="minorHAnsi"/>
              </w:rPr>
            </w:pPr>
            <w:r w:rsidRPr="006910DC">
              <w:rPr>
                <w:rFonts w:cstheme="minorHAnsi"/>
              </w:rPr>
              <w:t>Data - Maths and Writing broadly showed that the attainment gap between PPQ and non PPQ children narrowing</w:t>
            </w:r>
          </w:p>
          <w:p w14:paraId="531D4E46" w14:textId="77777777" w:rsidR="006910DC" w:rsidRPr="006910DC" w:rsidRDefault="006910DC" w:rsidP="006910DC">
            <w:pPr>
              <w:pStyle w:val="ListParagraph"/>
              <w:numPr>
                <w:ilvl w:val="0"/>
                <w:numId w:val="22"/>
              </w:numPr>
              <w:suppressAutoHyphens w:val="0"/>
              <w:autoSpaceDN/>
              <w:spacing w:after="160" w:line="259" w:lineRule="auto"/>
              <w:rPr>
                <w:rFonts w:cstheme="minorHAnsi"/>
              </w:rPr>
            </w:pPr>
            <w:r w:rsidRPr="006910DC">
              <w:rPr>
                <w:rFonts w:cstheme="minorHAnsi"/>
              </w:rPr>
              <w:t xml:space="preserve">Case studies established for PPQ children across the school so we had evidence of pupil voice across the school year </w:t>
            </w:r>
          </w:p>
          <w:p w14:paraId="4EDE3398" w14:textId="3EF6B8AC" w:rsidR="000E71BE" w:rsidRDefault="000E71BE">
            <w:pPr>
              <w:rPr>
                <w:noProof/>
              </w:rPr>
            </w:pPr>
          </w:p>
          <w:p w14:paraId="1A177D7F" w14:textId="27A6F6D5" w:rsidR="006910DC" w:rsidRDefault="006910DC">
            <w:pPr>
              <w:rPr>
                <w:noProof/>
              </w:rPr>
            </w:pPr>
            <w:r>
              <w:rPr>
                <w:noProof/>
              </w:rPr>
              <w:drawing>
                <wp:inline distT="0" distB="0" distL="0" distR="0" wp14:anchorId="4B581368" wp14:editId="0CED684F">
                  <wp:extent cx="5267325" cy="6953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267325" cy="6953250"/>
                          </a:xfrm>
                          <a:prstGeom prst="rect">
                            <a:avLst/>
                          </a:prstGeom>
                        </pic:spPr>
                      </pic:pic>
                    </a:graphicData>
                  </a:graphic>
                </wp:inline>
              </w:drawing>
            </w:r>
          </w:p>
          <w:p w14:paraId="173868AD" w14:textId="77777777" w:rsidR="006910DC" w:rsidRDefault="006910DC">
            <w:pPr>
              <w:rPr>
                <w:b/>
                <w:lang w:eastAsia="en-US"/>
              </w:rPr>
            </w:pPr>
          </w:p>
          <w:p w14:paraId="353AEEF4" w14:textId="7E21C478" w:rsidR="006910DC" w:rsidRDefault="006910DC">
            <w:pPr>
              <w:rPr>
                <w:b/>
                <w:lang w:eastAsia="en-US"/>
              </w:rPr>
            </w:pPr>
          </w:p>
          <w:p w14:paraId="707B21DB" w14:textId="6FAE41F2" w:rsidR="006910DC" w:rsidRDefault="006910DC">
            <w:pPr>
              <w:rPr>
                <w:b/>
                <w:lang w:eastAsia="en-US"/>
              </w:rPr>
            </w:pPr>
            <w:r>
              <w:rPr>
                <w:noProof/>
              </w:rPr>
              <w:drawing>
                <wp:inline distT="0" distB="0" distL="0" distR="0" wp14:anchorId="77596A3B" wp14:editId="3C4D41A9">
                  <wp:extent cx="5210175" cy="6734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210175" cy="6734175"/>
                          </a:xfrm>
                          <a:prstGeom prst="rect">
                            <a:avLst/>
                          </a:prstGeom>
                        </pic:spPr>
                      </pic:pic>
                    </a:graphicData>
                  </a:graphic>
                </wp:inline>
              </w:drawing>
            </w:r>
          </w:p>
          <w:p w14:paraId="0B24E278" w14:textId="6B0B81D5" w:rsidR="006910DC" w:rsidRDefault="006910DC">
            <w:pPr>
              <w:rPr>
                <w:b/>
                <w:lang w:eastAsia="en-US"/>
              </w:rPr>
            </w:pPr>
            <w:r>
              <w:rPr>
                <w:noProof/>
              </w:rPr>
              <w:drawing>
                <wp:inline distT="0" distB="0" distL="0" distR="0" wp14:anchorId="19E51A1F" wp14:editId="0527DF0C">
                  <wp:extent cx="5210175" cy="6686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210175" cy="6686550"/>
                          </a:xfrm>
                          <a:prstGeom prst="rect">
                            <a:avLst/>
                          </a:prstGeom>
                        </pic:spPr>
                      </pic:pic>
                    </a:graphicData>
                  </a:graphic>
                </wp:inline>
              </w:drawing>
            </w:r>
          </w:p>
          <w:p w14:paraId="3380C5A9" w14:textId="7B268ADC" w:rsidR="006910DC" w:rsidRDefault="006910DC">
            <w:pPr>
              <w:rPr>
                <w:b/>
                <w:lang w:eastAsia="en-US"/>
              </w:rPr>
            </w:pPr>
          </w:p>
          <w:p w14:paraId="10AA036D" w14:textId="12FB4938" w:rsidR="006910DC" w:rsidRDefault="006910DC">
            <w:pPr>
              <w:rPr>
                <w:b/>
                <w:lang w:eastAsia="en-US"/>
              </w:rPr>
            </w:pPr>
          </w:p>
          <w:p w14:paraId="4D349C12" w14:textId="03A8489A" w:rsidR="006910DC" w:rsidRDefault="006910DC">
            <w:pPr>
              <w:rPr>
                <w:b/>
                <w:lang w:eastAsia="en-US"/>
              </w:rPr>
            </w:pPr>
          </w:p>
          <w:p w14:paraId="69F5ECDF" w14:textId="4120D51E" w:rsidR="006910DC" w:rsidRDefault="006910DC">
            <w:pPr>
              <w:rPr>
                <w:b/>
                <w:lang w:eastAsia="en-US"/>
              </w:rPr>
            </w:pPr>
          </w:p>
          <w:p w14:paraId="239CC1C2" w14:textId="1F2CDBA8" w:rsidR="006910DC" w:rsidRDefault="006910DC">
            <w:pPr>
              <w:rPr>
                <w:b/>
                <w:lang w:eastAsia="en-US"/>
              </w:rPr>
            </w:pPr>
          </w:p>
          <w:p w14:paraId="16F37534" w14:textId="5CE433B8" w:rsidR="006910DC" w:rsidRDefault="006910DC">
            <w:pPr>
              <w:rPr>
                <w:b/>
                <w:lang w:eastAsia="en-US"/>
              </w:rPr>
            </w:pPr>
          </w:p>
          <w:p w14:paraId="39A0EEF7" w14:textId="5191E09E" w:rsidR="006910DC" w:rsidRDefault="006910DC">
            <w:pPr>
              <w:rPr>
                <w:b/>
                <w:lang w:eastAsia="en-US"/>
              </w:rPr>
            </w:pPr>
            <w:r>
              <w:rPr>
                <w:noProof/>
              </w:rPr>
              <w:drawing>
                <wp:inline distT="0" distB="0" distL="0" distR="0" wp14:anchorId="43E2EDF3" wp14:editId="0BA996CB">
                  <wp:extent cx="8773984" cy="4688205"/>
                  <wp:effectExtent l="4445"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rot="16200000">
                            <a:off x="0" y="0"/>
                            <a:ext cx="8784600" cy="4693878"/>
                          </a:xfrm>
                          <a:prstGeom prst="rect">
                            <a:avLst/>
                          </a:prstGeom>
                        </pic:spPr>
                      </pic:pic>
                    </a:graphicData>
                  </a:graphic>
                </wp:inline>
              </w:drawing>
            </w:r>
          </w:p>
          <w:p w14:paraId="6462E86F" w14:textId="1113E911" w:rsidR="006910DC" w:rsidRDefault="006910DC">
            <w:pPr>
              <w:rPr>
                <w:b/>
                <w:lang w:eastAsia="en-US"/>
              </w:rPr>
            </w:pPr>
            <w:r>
              <w:rPr>
                <w:noProof/>
              </w:rPr>
              <w:drawing>
                <wp:inline distT="0" distB="0" distL="0" distR="0" wp14:anchorId="43E0F164" wp14:editId="2799565B">
                  <wp:extent cx="4752975" cy="70770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752975" cy="7077075"/>
                          </a:xfrm>
                          <a:prstGeom prst="rect">
                            <a:avLst/>
                          </a:prstGeom>
                        </pic:spPr>
                      </pic:pic>
                    </a:graphicData>
                  </a:graphic>
                </wp:inline>
              </w:drawing>
            </w:r>
          </w:p>
          <w:p w14:paraId="1CF02486" w14:textId="77777777" w:rsidR="006910DC" w:rsidRDefault="006910DC">
            <w:pPr>
              <w:rPr>
                <w:b/>
                <w:lang w:eastAsia="en-US"/>
              </w:rPr>
            </w:pPr>
          </w:p>
          <w:p w14:paraId="2A7D5546" w14:textId="6F846F78" w:rsidR="0050022B" w:rsidRPr="00591D14" w:rsidRDefault="0050022B">
            <w:pPr>
              <w:rPr>
                <w:b/>
                <w:lang w:eastAsia="en-US"/>
              </w:rPr>
            </w:pP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w:t>
      </w:r>
      <w:proofErr w:type="spellStart"/>
      <w:r>
        <w:rPr>
          <w:i/>
          <w:iCs/>
        </w:rPr>
        <w:t>DfE</w:t>
      </w:r>
      <w:proofErr w:type="spellEnd"/>
      <w:r>
        <w:rPr>
          <w:i/>
          <w:iCs/>
        </w:rPr>
        <w:t xml:space="preserve"> programmes that you purchased in the previous academic year. This will help the Department for Education identify which ones are popular in England</w:t>
      </w:r>
    </w:p>
    <w:tbl>
      <w:tblPr>
        <w:tblW w:w="7462" w:type="pct"/>
        <w:tblCellMar>
          <w:left w:w="10" w:type="dxa"/>
          <w:right w:w="10" w:type="dxa"/>
        </w:tblCellMar>
        <w:tblLook w:val="04A0" w:firstRow="1" w:lastRow="0" w:firstColumn="1" w:lastColumn="0" w:noHBand="0" w:noVBand="1"/>
      </w:tblPr>
      <w:tblGrid>
        <w:gridCol w:w="4815"/>
        <w:gridCol w:w="4671"/>
        <w:gridCol w:w="4671"/>
      </w:tblGrid>
      <w:tr w:rsidR="00E66558" w14:paraId="2A7D554C" w14:textId="77777777" w:rsidTr="005974FE">
        <w:trPr>
          <w:gridAfter w:val="1"/>
          <w:wAfter w:w="4671" w:type="dxa"/>
        </w:trPr>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5974FE" w14:paraId="2A7D5552" w14:textId="38E612E0" w:rsidTr="005974FE">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0A9E3953" w:rsidR="005974FE" w:rsidRDefault="00591D14" w:rsidP="005974FE">
            <w:pPr>
              <w:pStyle w:val="TableRow"/>
            </w:pPr>
            <w:r>
              <w:t>The Literacy Shed Plus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267DDE0A" w:rsidR="005974FE" w:rsidRDefault="005974FE" w:rsidP="005974FE">
            <w:pPr>
              <w:pStyle w:val="TableRowCentered"/>
              <w:jc w:val="left"/>
            </w:pPr>
          </w:p>
        </w:tc>
        <w:tc>
          <w:tcPr>
            <w:tcW w:w="4671" w:type="dxa"/>
          </w:tcPr>
          <w:p w14:paraId="6D6EE121" w14:textId="37C2FA9B" w:rsidR="005974FE" w:rsidRDefault="005974FE" w:rsidP="005974FE">
            <w:pPr>
              <w:suppressAutoHyphens w:val="0"/>
              <w:spacing w:after="0" w:line="240" w:lineRule="auto"/>
            </w:pPr>
          </w:p>
        </w:tc>
      </w:tr>
      <w:tr w:rsidR="00591D14" w14:paraId="0DB50ECC" w14:textId="77777777" w:rsidTr="005974FE">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661AA" w14:textId="629FA2C7" w:rsidR="00591D14" w:rsidRDefault="00591D14" w:rsidP="005974FE">
            <w:pPr>
              <w:pStyle w:val="TableRow"/>
            </w:pPr>
            <w:r>
              <w:t xml:space="preserve">Times Table </w:t>
            </w:r>
            <w:proofErr w:type="spellStart"/>
            <w:r>
              <w:t>Rockstars</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D66F1" w14:textId="77777777" w:rsidR="00591D14" w:rsidRDefault="00591D14" w:rsidP="005974FE">
            <w:pPr>
              <w:pStyle w:val="TableRowCentered"/>
              <w:jc w:val="left"/>
            </w:pPr>
          </w:p>
        </w:tc>
        <w:tc>
          <w:tcPr>
            <w:tcW w:w="4671" w:type="dxa"/>
          </w:tcPr>
          <w:p w14:paraId="6172D728" w14:textId="77777777" w:rsidR="00591D14" w:rsidRDefault="00591D14" w:rsidP="005974FE">
            <w:pPr>
              <w:suppressAutoHyphens w:val="0"/>
              <w:spacing w:after="0" w:line="240" w:lineRule="auto"/>
            </w:pPr>
          </w:p>
        </w:tc>
      </w:tr>
      <w:tr w:rsidR="00591D14" w14:paraId="1C51012F" w14:textId="77777777" w:rsidTr="005974FE">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65D9" w14:textId="1CD60A0E" w:rsidR="00591D14" w:rsidRDefault="00591D14" w:rsidP="005974FE">
            <w:pPr>
              <w:pStyle w:val="TableRow"/>
            </w:pPr>
            <w:r>
              <w:t>Power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12972" w14:textId="77777777" w:rsidR="00591D14" w:rsidRDefault="00591D14" w:rsidP="005974FE">
            <w:pPr>
              <w:pStyle w:val="TableRowCentered"/>
              <w:jc w:val="left"/>
            </w:pPr>
          </w:p>
        </w:tc>
        <w:tc>
          <w:tcPr>
            <w:tcW w:w="4671" w:type="dxa"/>
          </w:tcPr>
          <w:p w14:paraId="3B3FDEBE" w14:textId="77777777" w:rsidR="00591D14" w:rsidRDefault="00591D14" w:rsidP="005974FE">
            <w:pPr>
              <w:suppressAutoHyphens w:val="0"/>
              <w:spacing w:after="0" w:line="240" w:lineRule="auto"/>
            </w:pPr>
          </w:p>
        </w:tc>
      </w:tr>
      <w:tr w:rsidR="00591D14" w14:paraId="35DB975E" w14:textId="77777777" w:rsidTr="005974FE">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B0309" w14:textId="5B81BDFF" w:rsidR="00591D14" w:rsidRDefault="00591D14" w:rsidP="005974FE">
            <w:pPr>
              <w:pStyle w:val="TableRow"/>
            </w:pPr>
            <w:r>
              <w:t>Language Angels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0561A" w14:textId="77777777" w:rsidR="00591D14" w:rsidRDefault="00591D14" w:rsidP="005974FE">
            <w:pPr>
              <w:pStyle w:val="TableRowCentered"/>
              <w:jc w:val="left"/>
            </w:pPr>
          </w:p>
        </w:tc>
        <w:tc>
          <w:tcPr>
            <w:tcW w:w="4671" w:type="dxa"/>
          </w:tcPr>
          <w:p w14:paraId="63E3D126" w14:textId="77777777" w:rsidR="00591D14" w:rsidRDefault="00591D14" w:rsidP="005974FE">
            <w:pPr>
              <w:suppressAutoHyphens w:val="0"/>
              <w:spacing w:after="0" w:line="240" w:lineRule="auto"/>
            </w:pPr>
          </w:p>
        </w:tc>
      </w:tr>
      <w:tr w:rsidR="00591D14" w14:paraId="25AAB77A" w14:textId="77777777" w:rsidTr="005974FE">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6856F" w14:textId="222E5517" w:rsidR="00591D14" w:rsidRDefault="00591D14" w:rsidP="005974FE">
            <w:pPr>
              <w:pStyle w:val="TableRow"/>
            </w:pPr>
            <w:proofErr w:type="spellStart"/>
            <w:r>
              <w:t>Charanga</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9CB5D" w14:textId="77777777" w:rsidR="00591D14" w:rsidRDefault="00591D14" w:rsidP="005974FE">
            <w:pPr>
              <w:pStyle w:val="TableRowCentered"/>
              <w:jc w:val="left"/>
            </w:pPr>
          </w:p>
        </w:tc>
        <w:tc>
          <w:tcPr>
            <w:tcW w:w="4671" w:type="dxa"/>
          </w:tcPr>
          <w:p w14:paraId="497B9909" w14:textId="77777777" w:rsidR="00591D14" w:rsidRDefault="00591D14" w:rsidP="005974FE">
            <w:pPr>
              <w:suppressAutoHyphens w:val="0"/>
              <w:spacing w:after="0" w:line="240" w:lineRule="auto"/>
            </w:pPr>
          </w:p>
        </w:tc>
      </w:tr>
      <w:tr w:rsidR="00591D14" w14:paraId="5BD98589" w14:textId="77777777" w:rsidTr="005974FE">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C3B85" w14:textId="2EB75932" w:rsidR="00591D14" w:rsidRDefault="00DE7707" w:rsidP="005974FE">
            <w:pPr>
              <w:pStyle w:val="TableRow"/>
            </w:pPr>
            <w:r>
              <w:t>Read Write Inc.</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422A0" w14:textId="77777777" w:rsidR="00591D14" w:rsidRDefault="00591D14" w:rsidP="005974FE">
            <w:pPr>
              <w:pStyle w:val="TableRowCentered"/>
              <w:jc w:val="left"/>
            </w:pPr>
          </w:p>
        </w:tc>
        <w:tc>
          <w:tcPr>
            <w:tcW w:w="4671" w:type="dxa"/>
          </w:tcPr>
          <w:p w14:paraId="500145A4" w14:textId="77777777" w:rsidR="00591D14" w:rsidRDefault="00591D14" w:rsidP="005974FE">
            <w:pPr>
              <w:suppressAutoHyphens w:val="0"/>
              <w:spacing w:after="0" w:line="240" w:lineRule="auto"/>
            </w:pPr>
          </w:p>
        </w:tc>
      </w:tr>
      <w:tr w:rsidR="006910DC" w14:paraId="4357E28C" w14:textId="77777777" w:rsidTr="005974FE">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C3843" w14:textId="5CE9A723" w:rsidR="006910DC" w:rsidRDefault="006910DC" w:rsidP="005974FE">
            <w:pPr>
              <w:pStyle w:val="TableRow"/>
            </w:pPr>
            <w:r>
              <w:t>Snap Science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711FF" w14:textId="77777777" w:rsidR="006910DC" w:rsidRDefault="006910DC" w:rsidP="005974FE">
            <w:pPr>
              <w:pStyle w:val="TableRowCentered"/>
              <w:jc w:val="left"/>
            </w:pPr>
          </w:p>
        </w:tc>
        <w:tc>
          <w:tcPr>
            <w:tcW w:w="4671" w:type="dxa"/>
          </w:tcPr>
          <w:p w14:paraId="27FA2B32" w14:textId="77777777" w:rsidR="006910DC" w:rsidRDefault="006910DC" w:rsidP="005974FE">
            <w:pPr>
              <w:suppressAutoHyphens w:val="0"/>
              <w:spacing w:after="0" w:line="240" w:lineRule="auto"/>
            </w:pPr>
          </w:p>
        </w:tc>
      </w:tr>
      <w:tr w:rsidR="0063417E" w14:paraId="4F1A13E2" w14:textId="77777777" w:rsidTr="005974FE">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B713E" w14:textId="38F419DD" w:rsidR="0063417E" w:rsidRDefault="0063417E" w:rsidP="005974FE">
            <w:pPr>
              <w:pStyle w:val="TableRow"/>
            </w:pPr>
            <w:r>
              <w:t>Jigsaw Spiral Curriculum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41E2F" w14:textId="77777777" w:rsidR="0063417E" w:rsidRDefault="0063417E" w:rsidP="005974FE">
            <w:pPr>
              <w:pStyle w:val="TableRowCentered"/>
              <w:jc w:val="left"/>
            </w:pPr>
          </w:p>
        </w:tc>
        <w:tc>
          <w:tcPr>
            <w:tcW w:w="4671" w:type="dxa"/>
          </w:tcPr>
          <w:p w14:paraId="28D6AF91" w14:textId="77777777" w:rsidR="0063417E" w:rsidRDefault="0063417E" w:rsidP="005974FE">
            <w:pPr>
              <w:suppressAutoHyphens w:val="0"/>
              <w:spacing w:after="0" w:line="240" w:lineRule="auto"/>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Default="00E66558">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18"/>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rsidSect="009454F8">
      <w:footerReference w:type="default" r:id="rId32"/>
      <w:pgSz w:w="11906" w:h="16838"/>
      <w:pgMar w:top="851" w:right="1276" w:bottom="28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1B99" w14:textId="77777777" w:rsidR="00A23A0F" w:rsidRDefault="00A23A0F">
      <w:pPr>
        <w:spacing w:after="0" w:line="240" w:lineRule="auto"/>
      </w:pPr>
      <w:r>
        <w:separator/>
      </w:r>
    </w:p>
  </w:endnote>
  <w:endnote w:type="continuationSeparator" w:id="0">
    <w:p w14:paraId="183EE776" w14:textId="77777777" w:rsidR="00A23A0F" w:rsidRDefault="00A2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2638931E" w:rsidR="00A23A0F" w:rsidRDefault="00A23A0F">
    <w:pPr>
      <w:pStyle w:val="Footer"/>
      <w:ind w:firstLine="4513"/>
    </w:pPr>
    <w:r>
      <w:fldChar w:fldCharType="begin"/>
    </w:r>
    <w:r>
      <w:instrText xml:space="preserve"> PAGE </w:instrText>
    </w:r>
    <w:r>
      <w:fldChar w:fldCharType="separate"/>
    </w:r>
    <w:r w:rsidR="009454F8">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9D76" w14:textId="77777777" w:rsidR="00A23A0F" w:rsidRDefault="00A23A0F">
      <w:pPr>
        <w:spacing w:after="0" w:line="240" w:lineRule="auto"/>
      </w:pPr>
      <w:r>
        <w:separator/>
      </w:r>
    </w:p>
  </w:footnote>
  <w:footnote w:type="continuationSeparator" w:id="0">
    <w:p w14:paraId="5021A7ED" w14:textId="77777777" w:rsidR="00A23A0F" w:rsidRDefault="00A23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3F3"/>
    <w:multiLevelType w:val="hybridMultilevel"/>
    <w:tmpl w:val="4B662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407AB"/>
    <w:multiLevelType w:val="hybridMultilevel"/>
    <w:tmpl w:val="BDE207D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13F96E3F"/>
    <w:multiLevelType w:val="hybridMultilevel"/>
    <w:tmpl w:val="DFD0E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5194EC6"/>
    <w:multiLevelType w:val="hybridMultilevel"/>
    <w:tmpl w:val="8438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9A1A7A"/>
    <w:multiLevelType w:val="multilevel"/>
    <w:tmpl w:val="F5C05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FA2BE7"/>
    <w:multiLevelType w:val="hybridMultilevel"/>
    <w:tmpl w:val="28AC91F2"/>
    <w:lvl w:ilvl="0" w:tplc="EEF858CE">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41535CCE"/>
    <w:multiLevelType w:val="hybridMultilevel"/>
    <w:tmpl w:val="3A5A1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473D89"/>
    <w:multiLevelType w:val="hybridMultilevel"/>
    <w:tmpl w:val="DED4E756"/>
    <w:lvl w:ilvl="0" w:tplc="2084AB9E">
      <w:numFmt w:val="bullet"/>
      <w:lvlText w:val="-"/>
      <w:lvlJc w:val="left"/>
      <w:pPr>
        <w:ind w:left="1440" w:hanging="360"/>
      </w:pPr>
      <w:rPr>
        <w:rFonts w:ascii="Tahoma" w:eastAsiaTheme="minorHAnsi" w:hAnsi="Tahoma" w:cs="Tahom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9014345"/>
    <w:multiLevelType w:val="hybridMultilevel"/>
    <w:tmpl w:val="BD06324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6"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FE94073"/>
    <w:multiLevelType w:val="hybridMultilevel"/>
    <w:tmpl w:val="6A883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294E7F"/>
    <w:multiLevelType w:val="hybridMultilevel"/>
    <w:tmpl w:val="30082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6A576862"/>
    <w:multiLevelType w:val="hybridMultilevel"/>
    <w:tmpl w:val="7FDE0F2A"/>
    <w:lvl w:ilvl="0" w:tplc="2084AB9E">
      <w:numFmt w:val="bullet"/>
      <w:lvlText w:val="-"/>
      <w:lvlJc w:val="left"/>
      <w:pPr>
        <w:ind w:left="1440" w:hanging="360"/>
      </w:pPr>
      <w:rPr>
        <w:rFonts w:ascii="Tahoma" w:eastAsiaTheme="minorHAnsi" w:hAnsi="Tahoma" w:cs="Tahom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AD83520"/>
    <w:multiLevelType w:val="hybridMultilevel"/>
    <w:tmpl w:val="835CF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72987E51"/>
    <w:multiLevelType w:val="hybridMultilevel"/>
    <w:tmpl w:val="BE1CA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3C592F"/>
    <w:multiLevelType w:val="hybridMultilevel"/>
    <w:tmpl w:val="65889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63C3F9B"/>
    <w:multiLevelType w:val="multilevel"/>
    <w:tmpl w:val="E140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7"/>
  </w:num>
  <w:num w:numId="4">
    <w:abstractNumId w:val="8"/>
  </w:num>
  <w:num w:numId="5">
    <w:abstractNumId w:val="3"/>
  </w:num>
  <w:num w:numId="6">
    <w:abstractNumId w:val="12"/>
  </w:num>
  <w:num w:numId="7">
    <w:abstractNumId w:val="19"/>
  </w:num>
  <w:num w:numId="8">
    <w:abstractNumId w:val="27"/>
  </w:num>
  <w:num w:numId="9">
    <w:abstractNumId w:val="23"/>
  </w:num>
  <w:num w:numId="10">
    <w:abstractNumId w:val="22"/>
  </w:num>
  <w:num w:numId="11">
    <w:abstractNumId w:val="5"/>
  </w:num>
  <w:num w:numId="12">
    <w:abstractNumId w:val="24"/>
  </w:num>
  <w:num w:numId="13">
    <w:abstractNumId w:val="16"/>
  </w:num>
  <w:num w:numId="14">
    <w:abstractNumId w:val="13"/>
  </w:num>
  <w:num w:numId="15">
    <w:abstractNumId w:val="18"/>
  </w:num>
  <w:num w:numId="16">
    <w:abstractNumId w:val="11"/>
  </w:num>
  <w:num w:numId="17">
    <w:abstractNumId w:val="25"/>
  </w:num>
  <w:num w:numId="18">
    <w:abstractNumId w:val="9"/>
  </w:num>
  <w:num w:numId="19">
    <w:abstractNumId w:val="0"/>
  </w:num>
  <w:num w:numId="20">
    <w:abstractNumId w:val="26"/>
  </w:num>
  <w:num w:numId="21">
    <w:abstractNumId w:val="2"/>
  </w:num>
  <w:num w:numId="22">
    <w:abstractNumId w:val="21"/>
  </w:num>
  <w:num w:numId="23">
    <w:abstractNumId w:val="14"/>
  </w:num>
  <w:num w:numId="24">
    <w:abstractNumId w:val="20"/>
  </w:num>
  <w:num w:numId="25">
    <w:abstractNumId w:val="17"/>
  </w:num>
  <w:num w:numId="26">
    <w:abstractNumId w:val="28"/>
  </w:num>
  <w:num w:numId="27">
    <w:abstractNumId w:val="15"/>
  </w:num>
  <w:num w:numId="28">
    <w:abstractNumId w:val="1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275AD"/>
    <w:rsid w:val="00062CE6"/>
    <w:rsid w:val="00063A22"/>
    <w:rsid w:val="00066B73"/>
    <w:rsid w:val="000A3104"/>
    <w:rsid w:val="000A7591"/>
    <w:rsid w:val="000E71BE"/>
    <w:rsid w:val="001053FA"/>
    <w:rsid w:val="00107778"/>
    <w:rsid w:val="00120AB1"/>
    <w:rsid w:val="001C1681"/>
    <w:rsid w:val="001C4FC9"/>
    <w:rsid w:val="001E2BA6"/>
    <w:rsid w:val="0022428B"/>
    <w:rsid w:val="00247BEE"/>
    <w:rsid w:val="00275DCC"/>
    <w:rsid w:val="002A1993"/>
    <w:rsid w:val="0033416A"/>
    <w:rsid w:val="003B6FBF"/>
    <w:rsid w:val="004044AA"/>
    <w:rsid w:val="0043575B"/>
    <w:rsid w:val="00453773"/>
    <w:rsid w:val="0046351C"/>
    <w:rsid w:val="00473792"/>
    <w:rsid w:val="004F5A44"/>
    <w:rsid w:val="0050022B"/>
    <w:rsid w:val="00503B2D"/>
    <w:rsid w:val="00520CE3"/>
    <w:rsid w:val="0052414B"/>
    <w:rsid w:val="005456B5"/>
    <w:rsid w:val="0054625E"/>
    <w:rsid w:val="00580BC4"/>
    <w:rsid w:val="00591D14"/>
    <w:rsid w:val="005974FE"/>
    <w:rsid w:val="005D57FE"/>
    <w:rsid w:val="005E24C4"/>
    <w:rsid w:val="00605877"/>
    <w:rsid w:val="0063417E"/>
    <w:rsid w:val="006428B2"/>
    <w:rsid w:val="00642A4A"/>
    <w:rsid w:val="0064316A"/>
    <w:rsid w:val="00650F00"/>
    <w:rsid w:val="006910DC"/>
    <w:rsid w:val="006942B9"/>
    <w:rsid w:val="006A0678"/>
    <w:rsid w:val="006A3473"/>
    <w:rsid w:val="006C79D8"/>
    <w:rsid w:val="006D0FA9"/>
    <w:rsid w:val="006E2F0D"/>
    <w:rsid w:val="006E7FB1"/>
    <w:rsid w:val="00723FF5"/>
    <w:rsid w:val="00741B9E"/>
    <w:rsid w:val="007A1849"/>
    <w:rsid w:val="007C2F04"/>
    <w:rsid w:val="008D1CDD"/>
    <w:rsid w:val="008F5179"/>
    <w:rsid w:val="0092517F"/>
    <w:rsid w:val="009454F8"/>
    <w:rsid w:val="009571E3"/>
    <w:rsid w:val="009D71E8"/>
    <w:rsid w:val="009E00F0"/>
    <w:rsid w:val="00A06EC1"/>
    <w:rsid w:val="00A2224B"/>
    <w:rsid w:val="00A238F9"/>
    <w:rsid w:val="00A23A0F"/>
    <w:rsid w:val="00A417B5"/>
    <w:rsid w:val="00A43A94"/>
    <w:rsid w:val="00AB1143"/>
    <w:rsid w:val="00B1169D"/>
    <w:rsid w:val="00B22A78"/>
    <w:rsid w:val="00C21ABF"/>
    <w:rsid w:val="00C33FC7"/>
    <w:rsid w:val="00C34632"/>
    <w:rsid w:val="00C56483"/>
    <w:rsid w:val="00C955FE"/>
    <w:rsid w:val="00CA468F"/>
    <w:rsid w:val="00CC6E18"/>
    <w:rsid w:val="00D33FE5"/>
    <w:rsid w:val="00D45F40"/>
    <w:rsid w:val="00DA4BF1"/>
    <w:rsid w:val="00DE76A5"/>
    <w:rsid w:val="00DE7707"/>
    <w:rsid w:val="00E039DB"/>
    <w:rsid w:val="00E067AC"/>
    <w:rsid w:val="00E45E7C"/>
    <w:rsid w:val="00E66558"/>
    <w:rsid w:val="00E9768D"/>
    <w:rsid w:val="00EC46E4"/>
    <w:rsid w:val="00ED00D0"/>
    <w:rsid w:val="00EF25A3"/>
    <w:rsid w:val="00F541D0"/>
    <w:rsid w:val="00F86EDC"/>
    <w:rsid w:val="00F97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0E71BE"/>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571E3"/>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254529">
      <w:bodyDiv w:val="1"/>
      <w:marLeft w:val="0"/>
      <w:marRight w:val="0"/>
      <w:marTop w:val="0"/>
      <w:marBottom w:val="0"/>
      <w:divBdr>
        <w:top w:val="none" w:sz="0" w:space="0" w:color="auto"/>
        <w:left w:val="none" w:sz="0" w:space="0" w:color="auto"/>
        <w:bottom w:val="none" w:sz="0" w:space="0" w:color="auto"/>
        <w:right w:val="none" w:sz="0" w:space="0" w:color="auto"/>
      </w:divBdr>
      <w:divsChild>
        <w:div w:id="1883786905">
          <w:marLeft w:val="0"/>
          <w:marRight w:val="0"/>
          <w:marTop w:val="0"/>
          <w:marBottom w:val="0"/>
          <w:divBdr>
            <w:top w:val="single" w:sz="6" w:space="0" w:color="auto"/>
            <w:left w:val="single" w:sz="6" w:space="0" w:color="auto"/>
            <w:bottom w:val="single" w:sz="6" w:space="0" w:color="auto"/>
            <w:right w:val="single" w:sz="6" w:space="0" w:color="auto"/>
          </w:divBdr>
          <w:divsChild>
            <w:div w:id="1376353321">
              <w:marLeft w:val="0"/>
              <w:marRight w:val="4553"/>
              <w:marTop w:val="0"/>
              <w:marBottom w:val="0"/>
              <w:divBdr>
                <w:top w:val="single" w:sz="2" w:space="0" w:color="auto"/>
                <w:left w:val="single" w:sz="2" w:space="0" w:color="auto"/>
                <w:bottom w:val="single" w:sz="2" w:space="0" w:color="auto"/>
                <w:right w:val="single" w:sz="2" w:space="0" w:color="auto"/>
              </w:divBdr>
              <w:divsChild>
                <w:div w:id="8933533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23313529">
          <w:marLeft w:val="0"/>
          <w:marRight w:val="0"/>
          <w:marTop w:val="0"/>
          <w:marBottom w:val="0"/>
          <w:divBdr>
            <w:top w:val="single" w:sz="2" w:space="0" w:color="auto"/>
            <w:left w:val="single" w:sz="2" w:space="0" w:color="auto"/>
            <w:bottom w:val="single" w:sz="2" w:space="0" w:color="auto"/>
            <w:right w:val="single" w:sz="2" w:space="0" w:color="auto"/>
          </w:divBdr>
          <w:divsChild>
            <w:div w:id="1845393985">
              <w:marLeft w:val="0"/>
              <w:marRight w:val="0"/>
              <w:marTop w:val="0"/>
              <w:marBottom w:val="0"/>
              <w:divBdr>
                <w:top w:val="single" w:sz="2" w:space="0" w:color="auto"/>
                <w:left w:val="single" w:sz="2" w:space="0" w:color="auto"/>
                <w:bottom w:val="single" w:sz="2" w:space="0" w:color="auto"/>
                <w:right w:val="single" w:sz="2" w:space="0" w:color="auto"/>
              </w:divBdr>
              <w:divsChild>
                <w:div w:id="2111312192">
                  <w:marLeft w:val="0"/>
                  <w:marRight w:val="0"/>
                  <w:marTop w:val="0"/>
                  <w:marBottom w:val="0"/>
                  <w:divBdr>
                    <w:top w:val="single" w:sz="2" w:space="0" w:color="auto"/>
                    <w:left w:val="single" w:sz="2" w:space="0" w:color="auto"/>
                    <w:bottom w:val="single" w:sz="2" w:space="0" w:color="auto"/>
                    <w:right w:val="single" w:sz="2" w:space="0" w:color="auto"/>
                  </w:divBdr>
                  <w:divsChild>
                    <w:div w:id="416370570">
                      <w:marLeft w:val="0"/>
                      <w:marRight w:val="0"/>
                      <w:marTop w:val="0"/>
                      <w:marBottom w:val="0"/>
                      <w:divBdr>
                        <w:top w:val="single" w:sz="2" w:space="0" w:color="auto"/>
                        <w:left w:val="single" w:sz="2" w:space="0" w:color="auto"/>
                        <w:bottom w:val="single" w:sz="2" w:space="0" w:color="auto"/>
                        <w:right w:val="single" w:sz="2" w:space="0" w:color="auto"/>
                      </w:divBdr>
                      <w:divsChild>
                        <w:div w:id="1263798803">
                          <w:marLeft w:val="0"/>
                          <w:marRight w:val="0"/>
                          <w:marTop w:val="0"/>
                          <w:marBottom w:val="0"/>
                          <w:divBdr>
                            <w:top w:val="single" w:sz="2" w:space="0" w:color="auto"/>
                            <w:left w:val="single" w:sz="2" w:space="0" w:color="auto"/>
                            <w:bottom w:val="single" w:sz="2" w:space="0" w:color="auto"/>
                            <w:right w:val="single" w:sz="2" w:space="0" w:color="auto"/>
                          </w:divBdr>
                          <w:divsChild>
                            <w:div w:id="17146196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68670284">
                  <w:marLeft w:val="0"/>
                  <w:marRight w:val="4800"/>
                  <w:marTop w:val="0"/>
                  <w:marBottom w:val="0"/>
                  <w:divBdr>
                    <w:top w:val="single" w:sz="2" w:space="0" w:color="auto"/>
                    <w:left w:val="single" w:sz="2" w:space="0" w:color="auto"/>
                    <w:bottom w:val="single" w:sz="2" w:space="0" w:color="auto"/>
                    <w:right w:val="single" w:sz="2" w:space="0" w:color="auto"/>
                  </w:divBdr>
                  <w:divsChild>
                    <w:div w:id="10920447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34215511">
      <w:bodyDiv w:val="1"/>
      <w:marLeft w:val="0"/>
      <w:marRight w:val="0"/>
      <w:marTop w:val="0"/>
      <w:marBottom w:val="0"/>
      <w:divBdr>
        <w:top w:val="none" w:sz="0" w:space="0" w:color="auto"/>
        <w:left w:val="none" w:sz="0" w:space="0" w:color="auto"/>
        <w:bottom w:val="none" w:sz="0" w:space="0" w:color="auto"/>
        <w:right w:val="none" w:sz="0" w:space="0" w:color="auto"/>
      </w:divBdr>
    </w:div>
    <w:div w:id="2036348798">
      <w:bodyDiv w:val="1"/>
      <w:marLeft w:val="0"/>
      <w:marRight w:val="0"/>
      <w:marTop w:val="0"/>
      <w:marBottom w:val="0"/>
      <w:divBdr>
        <w:top w:val="none" w:sz="0" w:space="0" w:color="auto"/>
        <w:left w:val="none" w:sz="0" w:space="0" w:color="auto"/>
        <w:bottom w:val="none" w:sz="0" w:space="0" w:color="auto"/>
        <w:right w:val="none" w:sz="0" w:space="0" w:color="auto"/>
      </w:divBdr>
    </w:div>
    <w:div w:id="2106656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hyperlink" Target="https://en.wikipedia.org/wiki/Manchester_city_centre" TargetMode="External"/><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hyperlink" Target="https://en.wikipedia.org/wiki/Manchester"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505B7-1479-4559-B1DC-C596B1DB8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20</Pages>
  <Words>3608</Words>
  <Characters>20568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R Crossley</cp:lastModifiedBy>
  <cp:revision>10</cp:revision>
  <cp:lastPrinted>2023-12-15T11:37:00Z</cp:lastPrinted>
  <dcterms:created xsi:type="dcterms:W3CDTF">2023-11-28T11:30:00Z</dcterms:created>
  <dcterms:modified xsi:type="dcterms:W3CDTF">2023-12-15T12:10:00Z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